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附件4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sz w:val="36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普通高等学校本科专业设置（第二学士学位专业）申请汇总表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填表人： 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09"/>
        <w:gridCol w:w="1452"/>
        <w:gridCol w:w="1437"/>
        <w:gridCol w:w="1437"/>
        <w:gridCol w:w="2065"/>
        <w:gridCol w:w="1437"/>
        <w:gridCol w:w="157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申报类型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14:ligatures w14:val="none"/>
              </w:rPr>
              <w:t>第二学士学位专业</w:t>
            </w: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0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</w:t>
      </w:r>
      <w:r>
        <w:rPr>
          <w:rFonts w:hint="eastAsia" w:ascii="仿宋_GB2312" w:hAnsi="仿宋" w:eastAsia="仿宋_GB2312" w:cs="仿宋"/>
          <w:snapToGrid w:val="0"/>
          <w:sz w:val="32"/>
          <w:szCs w:val="32"/>
          <w14:ligatures w14:val="none"/>
        </w:rPr>
        <w:t>：该表填写学校计划2023年在教育部本科专业设置与服务平台申报的第二学士学位专业。</w:t>
      </w:r>
    </w:p>
    <w:sectPr>
      <w:footerReference r:id="rId3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467D32C9"/>
    <w:rsid w:val="5DFBA6EA"/>
    <w:rsid w:val="74E99103"/>
    <w:rsid w:val="76EB7D96"/>
    <w:rsid w:val="779D8D42"/>
    <w:rsid w:val="7FBFE485"/>
    <w:rsid w:val="AF570F46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67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2023-07-21T14:52:32Z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