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FCB92" w14:textId="77777777" w:rsidR="000F11CF" w:rsidRDefault="000F11CF" w:rsidP="000F11CF">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一、候选人基本情况</w:t>
      </w:r>
    </w:p>
    <w:p w14:paraId="1661A02B" w14:textId="77777777" w:rsidR="000F11CF" w:rsidRDefault="000F11CF" w:rsidP="000F11CF">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祝振敏，男，1984年4月出生，教授/博士生导师，候选人博士毕业于天津大学精密测试技术国家重点实验室，现依托于华东交通大学控制科学与工程团队。独立从事科研工作十余年以来，候选人长期围绕视觉成像和精密测量基础理论和关键技术研究，先后主持在研或完成了国家自然科学基金、江西省杰出青年人才资助计划项目、江西省重点研发计划揭榜挂帅项目、江西省03 专项、江西省自然科学基金、江西省发明专利产业化重点项目、省科技支撑计划等省部级和企业委托项目 20 多项。获江西省政府特殊津贴,入选赣鄱英才-青年创新高端人才、江西省杰出青年人才资助计划、江西省青年井冈学者等，以第一作者或通讯作者在 IEEE TIM、Optics Express、Measurement 等国际光学测量领域的权威期刊发表 SCI 检索论文 56篇，1篇论文入选Editors’ Pick。以第一发明人授权国家发明专利 18项，项目成果“提高视觉成像对比度的关键技术与应用”获得 2020 年江西省技术发明二等奖（排名第 1），“轨道交通基础设施非接触检测测量关键技术研究及工程应用”项目获2023 年江西省科技进步二等奖（排名第 1），“基于高质量成像的结构光视觉检测技术及工程应用”获2023年产学研合作创新成果奖优秀奖（排名第1），参与获得江西省科技进步三等奖（排名第3）、省研究生教学成果二等奖（第4）、中国产学研合作创新成果优秀奖（第2）、省高校科技成果二等奖（第2）各1项。</w:t>
      </w:r>
    </w:p>
    <w:p w14:paraId="3A4A5C7A" w14:textId="77777777" w:rsidR="000F11CF" w:rsidRDefault="000F11CF" w:rsidP="000F11CF">
      <w:pPr>
        <w:autoSpaceDE w:val="0"/>
        <w:autoSpaceDN w:val="0"/>
        <w:adjustRightInd w:val="0"/>
        <w:snapToGrid w:val="0"/>
        <w:spacing w:beforeLines="50" w:before="156" w:line="400" w:lineRule="exact"/>
        <w:ind w:firstLineChars="200" w:firstLine="562"/>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w:t>
      </w:r>
    </w:p>
    <w:p w14:paraId="51CA7967" w14:textId="77777777" w:rsidR="000F11CF" w:rsidRDefault="000F11CF" w:rsidP="000F11CF">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：江西省教育厅</w:t>
      </w:r>
    </w:p>
    <w:p w14:paraId="5FA05063" w14:textId="77777777" w:rsidR="000F11CF" w:rsidRDefault="000F11CF" w:rsidP="000F11CF">
      <w:pPr>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w:t>
      </w:r>
    </w:p>
    <w:p w14:paraId="2438DC5B" w14:textId="56ABB13C" w:rsidR="000F11CF" w:rsidRDefault="000F11CF" w:rsidP="000F11CF">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祝振敏同志长期从事于视觉成像和精密测量基础理论和关键技术领域的研究。先后主持在研或完成了国家自然科学基金、江西省杰出青年人才资助计划、江西省重点研发计划揭榜挂帅、03专项、省发明专利产业化重点项目等省部级以上和企业委托项目20余项，突破了提高视觉成像对比度、高精度原位标定、偏振结构光视觉测量等关键技术瓶颈，研制了系列视觉测量光源和设备。先后入选了江西省杰出青年人才资助计划、江西省青年井冈学者等，以第一作者或通讯作者在 IEEE TIM、OE、Measurement等国际光学测量领域的权威期刊发表 SCI检索论文 56篇，授权发明专利18项，项目成果获得2020年江西省</w:t>
      </w:r>
      <w:r>
        <w:rPr>
          <w:rFonts w:ascii="仿宋" w:eastAsia="仿宋" w:hAnsi="仿宋" w:cs="仿宋" w:hint="eastAsia"/>
          <w:bCs/>
          <w:sz w:val="28"/>
          <w:szCs w:val="28"/>
        </w:rPr>
        <w:lastRenderedPageBreak/>
        <w:t>技术发明二等奖（排1），2023年江西省科技进步二等奖（排1）。</w:t>
      </w:r>
    </w:p>
    <w:p w14:paraId="6B7BD3F5" w14:textId="77777777" w:rsidR="000F11CF" w:rsidRDefault="000F11CF" w:rsidP="000F11CF">
      <w:pPr>
        <w:pStyle w:val="2"/>
        <w:ind w:firstLine="562"/>
        <w:rPr>
          <w:rFonts w:ascii="仿宋" w:eastAsia="仿宋" w:hAnsi="仿宋" w:cs="仿宋"/>
          <w:bCs/>
          <w:sz w:val="28"/>
          <w:szCs w:val="28"/>
        </w:rPr>
      </w:pPr>
      <w:r>
        <w:rPr>
          <w:rFonts w:ascii="仿宋" w:eastAsia="仿宋" w:hAnsi="仿宋" w:cs="仿宋"/>
          <w:snapToGrid w:val="0"/>
          <w:sz w:val="28"/>
          <w:szCs w:val="28"/>
        </w:rPr>
        <w:t>三、候选人的主要科学技术成就与贡献</w:t>
      </w:r>
    </w:p>
    <w:p w14:paraId="2173ADEC" w14:textId="101CC7C6" w:rsidR="002D4985" w:rsidRPr="000F11CF" w:rsidRDefault="000F11CF" w:rsidP="000F11CF">
      <w:pPr>
        <w:snapToGrid w:val="0"/>
        <w:spacing w:line="300" w:lineRule="auto"/>
        <w:ind w:firstLineChars="200" w:firstLine="560"/>
        <w:rPr>
          <w:rFonts w:hint="eastAsia"/>
        </w:rPr>
      </w:pPr>
      <w:r>
        <w:rPr>
          <w:rFonts w:ascii="仿宋" w:eastAsia="仿宋" w:hAnsi="仿宋" w:cs="仿宋" w:hint="eastAsia"/>
          <w:bCs/>
          <w:sz w:val="28"/>
          <w:szCs w:val="28"/>
        </w:rPr>
        <w:t>候选人的主要科学技术成就与贡献：候选人紧密围绕高质量的成像环境、高精度标定和偏振三维重构等关键技术瓶颈开展了系统深入的研究，在国内外率先提出了漫反射自由曲面的设计方法、基于单个圆柱靶标的单幅图像快速标定技术、偏振增强结构光编码策略，一次曝光快速三维测量等相关技术。结合国家交通强国战略、智能制造等国民经济建设的迫切需求，研制了多套视觉成像、测量装置，“漫反射间接照明光源”、“结构光测量仪”等测量装置通过了江西省计量院的测试鉴定，研究成果主要应用于制造型和交通类企业，其中领衔承担的“公路隧道智慧化安全运维技术研究及应用试点”列入了十四五江西省交通强省试点任务。研究成果应用后，为企业节省了大量的人力物力，为我国制造型企业转型升级、交通强国建设做出了重要贡献，取得了显著的社会效益和经济效益</w:t>
      </w:r>
      <w:r>
        <w:rPr>
          <w:rFonts w:ascii="仿宋" w:eastAsia="仿宋" w:hAnsi="仿宋" w:cs="仿宋" w:hint="eastAsia"/>
          <w:bCs/>
          <w:sz w:val="28"/>
          <w:szCs w:val="28"/>
        </w:rPr>
        <w:t>。</w:t>
      </w:r>
    </w:p>
    <w:sectPr w:rsidR="002D4985" w:rsidRPr="000F11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DCBDFB" w14:textId="77777777" w:rsidR="006F7096" w:rsidRDefault="006F7096" w:rsidP="000F11CF">
      <w:pPr>
        <w:rPr>
          <w:rFonts w:hint="eastAsia"/>
        </w:rPr>
      </w:pPr>
      <w:r>
        <w:separator/>
      </w:r>
    </w:p>
  </w:endnote>
  <w:endnote w:type="continuationSeparator" w:id="0">
    <w:p w14:paraId="172DB217" w14:textId="77777777" w:rsidR="006F7096" w:rsidRDefault="006F7096" w:rsidP="000F11C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0F2D86" w14:textId="77777777" w:rsidR="006F7096" w:rsidRDefault="006F7096" w:rsidP="000F11CF">
      <w:pPr>
        <w:rPr>
          <w:rFonts w:hint="eastAsia"/>
        </w:rPr>
      </w:pPr>
      <w:r>
        <w:separator/>
      </w:r>
    </w:p>
  </w:footnote>
  <w:footnote w:type="continuationSeparator" w:id="0">
    <w:p w14:paraId="45B61B36" w14:textId="77777777" w:rsidR="006F7096" w:rsidRDefault="006F7096" w:rsidP="000F11C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CE1"/>
    <w:rsid w:val="00050161"/>
    <w:rsid w:val="00063431"/>
    <w:rsid w:val="00080DBC"/>
    <w:rsid w:val="000F11CF"/>
    <w:rsid w:val="002D4985"/>
    <w:rsid w:val="003B145B"/>
    <w:rsid w:val="003B2768"/>
    <w:rsid w:val="004103CA"/>
    <w:rsid w:val="006C6EC6"/>
    <w:rsid w:val="006F7096"/>
    <w:rsid w:val="00BA5561"/>
    <w:rsid w:val="00C1650A"/>
    <w:rsid w:val="00C917A7"/>
    <w:rsid w:val="00E35CE1"/>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92748"/>
  <w15:chartTrackingRefBased/>
  <w15:docId w15:val="{3240706F-B929-4D2C-A82E-4CC7C9CCA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11CF"/>
    <w:pPr>
      <w:widowControl w:val="0"/>
      <w:jc w:val="both"/>
    </w:pPr>
  </w:style>
  <w:style w:type="paragraph" w:styleId="2">
    <w:name w:val="heading 2"/>
    <w:basedOn w:val="a"/>
    <w:next w:val="a"/>
    <w:link w:val="20"/>
    <w:uiPriority w:val="9"/>
    <w:semiHidden/>
    <w:unhideWhenUsed/>
    <w:qFormat/>
    <w:rsid w:val="000F11CF"/>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11CF"/>
    <w:pPr>
      <w:tabs>
        <w:tab w:val="center" w:pos="4153"/>
        <w:tab w:val="right" w:pos="8306"/>
      </w:tabs>
      <w:snapToGrid w:val="0"/>
      <w:jc w:val="center"/>
    </w:pPr>
    <w:rPr>
      <w:sz w:val="18"/>
      <w:szCs w:val="18"/>
    </w:rPr>
  </w:style>
  <w:style w:type="character" w:customStyle="1" w:styleId="a4">
    <w:name w:val="页眉 字符"/>
    <w:basedOn w:val="a0"/>
    <w:link w:val="a3"/>
    <w:uiPriority w:val="99"/>
    <w:rsid w:val="000F11CF"/>
    <w:rPr>
      <w:sz w:val="18"/>
      <w:szCs w:val="18"/>
    </w:rPr>
  </w:style>
  <w:style w:type="paragraph" w:styleId="a5">
    <w:name w:val="footer"/>
    <w:basedOn w:val="a"/>
    <w:link w:val="a6"/>
    <w:uiPriority w:val="99"/>
    <w:unhideWhenUsed/>
    <w:rsid w:val="000F11CF"/>
    <w:pPr>
      <w:tabs>
        <w:tab w:val="center" w:pos="4153"/>
        <w:tab w:val="right" w:pos="8306"/>
      </w:tabs>
      <w:snapToGrid w:val="0"/>
      <w:jc w:val="left"/>
    </w:pPr>
    <w:rPr>
      <w:sz w:val="18"/>
      <w:szCs w:val="18"/>
    </w:rPr>
  </w:style>
  <w:style w:type="character" w:customStyle="1" w:styleId="a6">
    <w:name w:val="页脚 字符"/>
    <w:basedOn w:val="a0"/>
    <w:link w:val="a5"/>
    <w:uiPriority w:val="99"/>
    <w:rsid w:val="000F11CF"/>
    <w:rPr>
      <w:sz w:val="18"/>
      <w:szCs w:val="18"/>
    </w:rPr>
  </w:style>
  <w:style w:type="character" w:customStyle="1" w:styleId="20">
    <w:name w:val="标题 2 字符"/>
    <w:basedOn w:val="a0"/>
    <w:link w:val="2"/>
    <w:uiPriority w:val="9"/>
    <w:semiHidden/>
    <w:rsid w:val="000F11CF"/>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200</Words>
  <Characters>1145</Characters>
  <Application>Microsoft Office Word</Application>
  <DocSecurity>0</DocSecurity>
  <Lines>9</Lines>
  <Paragraphs>2</Paragraphs>
  <ScaleCrop>false</ScaleCrop>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2024-12-12T08:20:00Z</dcterms:created>
  <dcterms:modified xsi:type="dcterms:W3CDTF">2024-12-12T08:24:00Z</dcterms:modified>
</cp:coreProperties>
</file>