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52D7C8" w14:textId="77777777" w:rsidR="00813308" w:rsidRDefault="00813308" w:rsidP="00813308">
      <w:pPr>
        <w:autoSpaceDE w:val="0"/>
        <w:autoSpaceDN w:val="0"/>
        <w:adjustRightInd w:val="0"/>
        <w:snapToGrid w:val="0"/>
        <w:spacing w:beforeLines="50" w:before="156" w:line="400" w:lineRule="exact"/>
        <w:rPr>
          <w:rFonts w:ascii="仿宋" w:eastAsia="仿宋" w:hAnsi="仿宋" w:cs="仿宋" w:hint="eastAsia"/>
          <w:b/>
          <w:snapToGrid w:val="0"/>
          <w:kern w:val="0"/>
          <w:sz w:val="28"/>
          <w:szCs w:val="28"/>
        </w:rPr>
      </w:pPr>
      <w:r>
        <w:rPr>
          <w:rFonts w:ascii="仿宋" w:eastAsia="仿宋" w:hAnsi="仿宋" w:cs="仿宋" w:hint="eastAsia"/>
          <w:b/>
          <w:snapToGrid w:val="0"/>
          <w:kern w:val="0"/>
          <w:sz w:val="28"/>
          <w:szCs w:val="28"/>
        </w:rPr>
        <w:t>一、候选人基本情况</w:t>
      </w:r>
    </w:p>
    <w:p w14:paraId="2A2D0972" w14:textId="77777777" w:rsidR="00813308" w:rsidRDefault="00813308" w:rsidP="00813308">
      <w:pPr>
        <w:autoSpaceDE w:val="0"/>
        <w:autoSpaceDN w:val="0"/>
        <w:adjustRightInd w:val="0"/>
        <w:snapToGrid w:val="0"/>
        <w:spacing w:beforeLines="50" w:before="156" w:line="400" w:lineRule="exact"/>
        <w:ind w:firstLineChars="200" w:firstLine="560"/>
        <w:rPr>
          <w:rFonts w:ascii="仿宋" w:eastAsia="仿宋" w:hAnsi="仿宋" w:cs="仿宋" w:hint="eastAsia"/>
          <w:bCs/>
          <w:sz w:val="28"/>
          <w:szCs w:val="28"/>
        </w:rPr>
      </w:pPr>
      <w:r>
        <w:rPr>
          <w:rFonts w:ascii="仿宋" w:eastAsia="仿宋" w:hAnsi="仿宋" w:cs="仿宋"/>
          <w:bCs/>
          <w:sz w:val="28"/>
          <w:szCs w:val="28"/>
        </w:rPr>
        <w:t>罗国亮，教授、博士生导师，江西省杰</w:t>
      </w:r>
      <w:proofErr w:type="gramStart"/>
      <w:r>
        <w:rPr>
          <w:rFonts w:ascii="仿宋" w:eastAsia="仿宋" w:hAnsi="仿宋" w:cs="仿宋"/>
          <w:bCs/>
          <w:sz w:val="28"/>
          <w:szCs w:val="28"/>
        </w:rPr>
        <w:t>青项目</w:t>
      </w:r>
      <w:proofErr w:type="gramEnd"/>
      <w:r>
        <w:rPr>
          <w:rFonts w:ascii="仿宋" w:eastAsia="仿宋" w:hAnsi="仿宋" w:cs="仿宋"/>
          <w:bCs/>
          <w:sz w:val="28"/>
          <w:szCs w:val="28"/>
        </w:rPr>
        <w:t>获得者，入选江西省“双千计划”（青年）、</w:t>
      </w:r>
      <w:r>
        <w:rPr>
          <w:rFonts w:ascii="仿宋" w:eastAsia="仿宋" w:hAnsi="仿宋" w:cs="仿宋" w:hint="eastAsia"/>
          <w:bCs/>
          <w:sz w:val="28"/>
          <w:szCs w:val="28"/>
        </w:rPr>
        <w:t>江西</w:t>
      </w:r>
      <w:r>
        <w:rPr>
          <w:rFonts w:ascii="仿宋" w:eastAsia="仿宋" w:hAnsi="仿宋" w:cs="仿宋"/>
          <w:bCs/>
          <w:sz w:val="28"/>
          <w:szCs w:val="28"/>
        </w:rPr>
        <w:t>省第二批级 VR 产业创新创业优秀人才团队、南昌市“双百计划”创新团队</w:t>
      </w:r>
      <w:r>
        <w:rPr>
          <w:rFonts w:ascii="仿宋" w:eastAsia="仿宋" w:hAnsi="仿宋" w:cs="仿宋" w:hint="eastAsia"/>
          <w:bCs/>
          <w:sz w:val="28"/>
          <w:szCs w:val="28"/>
        </w:rPr>
        <w:t>；牵头负责华东交通大学科技成果转化与技术转移中心工作，作为江西省第二批高层次人才服务团成员挂职担任南昌市</w:t>
      </w:r>
      <w:proofErr w:type="gramStart"/>
      <w:r>
        <w:rPr>
          <w:rFonts w:ascii="仿宋" w:eastAsia="仿宋" w:hAnsi="仿宋" w:cs="仿宋" w:hint="eastAsia"/>
          <w:bCs/>
          <w:sz w:val="28"/>
          <w:szCs w:val="28"/>
        </w:rPr>
        <w:t>红谷滩</w:t>
      </w:r>
      <w:proofErr w:type="gramEnd"/>
      <w:r>
        <w:rPr>
          <w:rFonts w:ascii="仿宋" w:eastAsia="仿宋" w:hAnsi="仿宋" w:cs="仿宋" w:hint="eastAsia"/>
          <w:bCs/>
          <w:sz w:val="28"/>
          <w:szCs w:val="28"/>
        </w:rPr>
        <w:t>区人民政府副区长（2022.02-2024.02）</w:t>
      </w:r>
      <w:r>
        <w:rPr>
          <w:rFonts w:ascii="仿宋" w:eastAsia="仿宋" w:hAnsi="仿宋" w:cs="仿宋"/>
          <w:bCs/>
          <w:sz w:val="28"/>
          <w:szCs w:val="28"/>
        </w:rPr>
        <w:t>。2014年博士毕业于法国斯特拉斯堡大学</w:t>
      </w:r>
      <w:r>
        <w:rPr>
          <w:rFonts w:ascii="仿宋" w:eastAsia="仿宋" w:hAnsi="仿宋" w:cs="仿宋" w:hint="eastAsia"/>
          <w:bCs/>
          <w:sz w:val="28"/>
          <w:szCs w:val="28"/>
        </w:rPr>
        <w:t>（WR：87）</w:t>
      </w:r>
      <w:r>
        <w:rPr>
          <w:rFonts w:ascii="仿宋" w:eastAsia="仿宋" w:hAnsi="仿宋" w:cs="仿宋"/>
          <w:bCs/>
          <w:sz w:val="28"/>
          <w:szCs w:val="28"/>
        </w:rPr>
        <w:t>，长期从事</w:t>
      </w:r>
      <w:r>
        <w:rPr>
          <w:rFonts w:ascii="仿宋" w:eastAsia="仿宋" w:hAnsi="仿宋" w:cs="仿宋" w:hint="eastAsia"/>
          <w:bCs/>
          <w:sz w:val="28"/>
          <w:szCs w:val="28"/>
        </w:rPr>
        <w:t>VR</w:t>
      </w:r>
      <w:r>
        <w:rPr>
          <w:rFonts w:ascii="仿宋" w:eastAsia="仿宋" w:hAnsi="仿宋" w:cs="仿宋"/>
          <w:bCs/>
          <w:sz w:val="28"/>
          <w:szCs w:val="28"/>
        </w:rPr>
        <w:t>技术研发与应用工作，获2022年度江西省技术</w:t>
      </w:r>
      <w:r>
        <w:rPr>
          <w:rFonts w:ascii="仿宋" w:eastAsia="仿宋" w:hAnsi="仿宋" w:cs="仿宋" w:hint="eastAsia"/>
          <w:bCs/>
          <w:sz w:val="28"/>
          <w:szCs w:val="28"/>
        </w:rPr>
        <w:t>发明</w:t>
      </w:r>
      <w:r>
        <w:rPr>
          <w:rFonts w:ascii="仿宋" w:eastAsia="仿宋" w:hAnsi="仿宋" w:cs="仿宋"/>
          <w:bCs/>
          <w:sz w:val="28"/>
          <w:szCs w:val="28"/>
        </w:rPr>
        <w:t>奖二等奖（排名第一）、2022年度中国铁道学会科学技术奖三等奖，担任“Visual Informatics”（SCI期刊）青年编委</w:t>
      </w:r>
      <w:r>
        <w:rPr>
          <w:rFonts w:ascii="仿宋" w:eastAsia="仿宋" w:hAnsi="仿宋" w:cs="仿宋" w:hint="eastAsia"/>
          <w:bCs/>
          <w:sz w:val="28"/>
          <w:szCs w:val="28"/>
        </w:rPr>
        <w:t>；</w:t>
      </w:r>
      <w:r>
        <w:rPr>
          <w:rFonts w:ascii="仿宋" w:eastAsia="仿宋" w:hAnsi="仿宋" w:cs="仿宋"/>
          <w:bCs/>
          <w:sz w:val="28"/>
          <w:szCs w:val="28"/>
        </w:rPr>
        <w:t>先后主持3项国家自然科学基金、</w:t>
      </w:r>
      <w:r>
        <w:rPr>
          <w:rFonts w:ascii="仿宋" w:eastAsia="仿宋" w:hAnsi="仿宋" w:cs="仿宋" w:hint="eastAsia"/>
          <w:bCs/>
          <w:sz w:val="28"/>
          <w:szCs w:val="28"/>
        </w:rPr>
        <w:t>2项中国博士后基金、</w:t>
      </w:r>
      <w:r>
        <w:rPr>
          <w:rFonts w:ascii="仿宋" w:eastAsia="仿宋" w:hAnsi="仿宋" w:cs="仿宋"/>
          <w:bCs/>
          <w:sz w:val="28"/>
          <w:szCs w:val="28"/>
        </w:rPr>
        <w:t>1项科技部专项、3项江西省重点（研发）自然科学基金</w:t>
      </w:r>
      <w:r>
        <w:rPr>
          <w:rFonts w:ascii="仿宋" w:eastAsia="仿宋" w:hAnsi="仿宋" w:cs="仿宋" w:hint="eastAsia"/>
          <w:bCs/>
          <w:sz w:val="28"/>
          <w:szCs w:val="28"/>
        </w:rPr>
        <w:t>等</w:t>
      </w:r>
      <w:r>
        <w:rPr>
          <w:rFonts w:ascii="仿宋" w:eastAsia="仿宋" w:hAnsi="仿宋" w:cs="仿宋"/>
          <w:bCs/>
          <w:sz w:val="28"/>
          <w:szCs w:val="28"/>
        </w:rPr>
        <w:t>在内</w:t>
      </w:r>
      <w:r>
        <w:rPr>
          <w:rFonts w:ascii="仿宋" w:eastAsia="仿宋" w:hAnsi="仿宋" w:cs="仿宋" w:hint="eastAsia"/>
          <w:bCs/>
          <w:sz w:val="28"/>
          <w:szCs w:val="28"/>
        </w:rPr>
        <w:t>近30</w:t>
      </w:r>
      <w:r>
        <w:rPr>
          <w:rFonts w:ascii="仿宋" w:eastAsia="仿宋" w:hAnsi="仿宋" w:cs="仿宋"/>
          <w:bCs/>
          <w:sz w:val="28"/>
          <w:szCs w:val="28"/>
        </w:rPr>
        <w:t>项课题，发表高水平学术论文40余篇</w:t>
      </w:r>
      <w:r>
        <w:rPr>
          <w:rFonts w:ascii="仿宋" w:eastAsia="仿宋" w:hAnsi="仿宋" w:cs="仿宋" w:hint="eastAsia"/>
          <w:bCs/>
          <w:sz w:val="28"/>
          <w:szCs w:val="28"/>
        </w:rPr>
        <w:t>、</w:t>
      </w:r>
      <w:r>
        <w:rPr>
          <w:rFonts w:ascii="仿宋" w:eastAsia="仿宋" w:hAnsi="仿宋" w:cs="仿宋"/>
          <w:bCs/>
          <w:sz w:val="28"/>
          <w:szCs w:val="28"/>
        </w:rPr>
        <w:t>专著</w:t>
      </w:r>
      <w:r>
        <w:rPr>
          <w:rFonts w:ascii="仿宋" w:eastAsia="仿宋" w:hAnsi="仿宋" w:cs="仿宋" w:hint="eastAsia"/>
          <w:bCs/>
          <w:sz w:val="28"/>
          <w:szCs w:val="28"/>
        </w:rPr>
        <w:t>3</w:t>
      </w:r>
      <w:r>
        <w:rPr>
          <w:rFonts w:ascii="仿宋" w:eastAsia="仿宋" w:hAnsi="仿宋" w:cs="仿宋"/>
          <w:bCs/>
          <w:sz w:val="28"/>
          <w:szCs w:val="28"/>
        </w:rPr>
        <w:t>部</w:t>
      </w:r>
      <w:r>
        <w:rPr>
          <w:rFonts w:ascii="仿宋" w:eastAsia="仿宋" w:hAnsi="仿宋" w:cs="仿宋" w:hint="eastAsia"/>
          <w:bCs/>
          <w:sz w:val="28"/>
          <w:szCs w:val="28"/>
        </w:rPr>
        <w:t>、</w:t>
      </w:r>
      <w:r>
        <w:rPr>
          <w:rFonts w:ascii="仿宋" w:eastAsia="仿宋" w:hAnsi="仿宋" w:cs="仿宋"/>
          <w:bCs/>
          <w:sz w:val="28"/>
          <w:szCs w:val="28"/>
        </w:rPr>
        <w:t>VR教材2部</w:t>
      </w:r>
      <w:r>
        <w:rPr>
          <w:rFonts w:ascii="仿宋" w:eastAsia="仿宋" w:hAnsi="仿宋" w:cs="仿宋" w:hint="eastAsia"/>
          <w:bCs/>
          <w:sz w:val="28"/>
          <w:szCs w:val="28"/>
        </w:rPr>
        <w:t>、</w:t>
      </w:r>
      <w:r>
        <w:rPr>
          <w:rFonts w:ascii="仿宋" w:eastAsia="仿宋" w:hAnsi="仿宋" w:cs="仿宋"/>
          <w:bCs/>
          <w:sz w:val="28"/>
          <w:szCs w:val="28"/>
        </w:rPr>
        <w:t>授权</w:t>
      </w:r>
      <w:r>
        <w:rPr>
          <w:rFonts w:ascii="仿宋" w:eastAsia="仿宋" w:hAnsi="仿宋" w:cs="仿宋" w:hint="eastAsia"/>
          <w:bCs/>
          <w:sz w:val="28"/>
          <w:szCs w:val="28"/>
        </w:rPr>
        <w:t>发明</w:t>
      </w:r>
      <w:r>
        <w:rPr>
          <w:rFonts w:ascii="仿宋" w:eastAsia="仿宋" w:hAnsi="仿宋" w:cs="仿宋"/>
          <w:bCs/>
          <w:sz w:val="28"/>
          <w:szCs w:val="28"/>
        </w:rPr>
        <w:t>专利</w:t>
      </w:r>
      <w:r>
        <w:rPr>
          <w:rFonts w:ascii="仿宋" w:eastAsia="仿宋" w:hAnsi="仿宋" w:cs="仿宋" w:hint="eastAsia"/>
          <w:bCs/>
          <w:sz w:val="28"/>
          <w:szCs w:val="28"/>
        </w:rPr>
        <w:t>15</w:t>
      </w:r>
      <w:r>
        <w:rPr>
          <w:rFonts w:ascii="仿宋" w:eastAsia="仿宋" w:hAnsi="仿宋" w:cs="仿宋"/>
          <w:bCs/>
          <w:sz w:val="28"/>
          <w:szCs w:val="28"/>
        </w:rPr>
        <w:t>项。</w:t>
      </w:r>
    </w:p>
    <w:p w14:paraId="1CD02293" w14:textId="77777777" w:rsidR="00813308" w:rsidRDefault="00813308" w:rsidP="00813308">
      <w:pPr>
        <w:autoSpaceDE w:val="0"/>
        <w:autoSpaceDN w:val="0"/>
        <w:adjustRightInd w:val="0"/>
        <w:snapToGrid w:val="0"/>
        <w:spacing w:beforeLines="50" w:before="156" w:line="400" w:lineRule="exact"/>
        <w:rPr>
          <w:rFonts w:ascii="仿宋" w:eastAsia="仿宋" w:hAnsi="仿宋" w:cs="仿宋" w:hint="eastAsia"/>
          <w:b/>
          <w:snapToGrid w:val="0"/>
          <w:kern w:val="0"/>
          <w:sz w:val="28"/>
          <w:szCs w:val="28"/>
        </w:rPr>
      </w:pPr>
      <w:r>
        <w:rPr>
          <w:rFonts w:ascii="仿宋" w:eastAsia="仿宋" w:hAnsi="仿宋" w:cs="仿宋" w:hint="eastAsia"/>
          <w:b/>
          <w:snapToGrid w:val="0"/>
          <w:kern w:val="0"/>
          <w:sz w:val="28"/>
          <w:szCs w:val="28"/>
        </w:rPr>
        <w:t>二、提名者及提名意见</w:t>
      </w:r>
    </w:p>
    <w:p w14:paraId="77CB11CE" w14:textId="77777777" w:rsidR="00813308" w:rsidRDefault="00813308" w:rsidP="00813308">
      <w:pPr>
        <w:autoSpaceDE w:val="0"/>
        <w:autoSpaceDN w:val="0"/>
        <w:adjustRightInd w:val="0"/>
        <w:snapToGrid w:val="0"/>
        <w:spacing w:beforeLines="50" w:before="156" w:line="400" w:lineRule="exact"/>
        <w:ind w:firstLineChars="200" w:firstLine="562"/>
        <w:rPr>
          <w:rFonts w:ascii="仿宋" w:eastAsia="仿宋" w:hAnsi="仿宋" w:cs="仿宋" w:hint="eastAsia"/>
          <w:color w:val="000000"/>
          <w:sz w:val="28"/>
          <w:szCs w:val="28"/>
        </w:rPr>
      </w:pPr>
      <w:r>
        <w:rPr>
          <w:rFonts w:ascii="仿宋" w:eastAsia="仿宋" w:hAnsi="仿宋" w:cs="仿宋" w:hint="eastAsia"/>
          <w:b/>
          <w:bCs/>
          <w:color w:val="000000"/>
          <w:sz w:val="28"/>
          <w:szCs w:val="28"/>
        </w:rPr>
        <w:t>提名者</w:t>
      </w:r>
      <w:r>
        <w:rPr>
          <w:rFonts w:ascii="仿宋" w:eastAsia="仿宋" w:hAnsi="仿宋" w:cs="仿宋" w:hint="eastAsia"/>
          <w:color w:val="000000"/>
          <w:sz w:val="28"/>
          <w:szCs w:val="28"/>
        </w:rPr>
        <w:t>：江西省教育厅</w:t>
      </w:r>
    </w:p>
    <w:p w14:paraId="4476F2B6" w14:textId="77777777" w:rsidR="00813308" w:rsidRDefault="00813308" w:rsidP="00813308">
      <w:pPr>
        <w:autoSpaceDE w:val="0"/>
        <w:autoSpaceDN w:val="0"/>
        <w:adjustRightInd w:val="0"/>
        <w:snapToGrid w:val="0"/>
        <w:spacing w:beforeLines="50" w:before="156" w:line="400" w:lineRule="exact"/>
        <w:ind w:firstLineChars="200" w:firstLine="562"/>
        <w:rPr>
          <w:rFonts w:ascii="仿宋" w:eastAsia="仿宋" w:hAnsi="仿宋" w:cs="仿宋" w:hint="eastAsia"/>
          <w:color w:val="000000"/>
          <w:sz w:val="28"/>
          <w:szCs w:val="28"/>
        </w:rPr>
      </w:pPr>
      <w:r>
        <w:rPr>
          <w:rFonts w:ascii="仿宋" w:eastAsia="仿宋" w:hAnsi="仿宋" w:cs="仿宋" w:hint="eastAsia"/>
          <w:b/>
          <w:bCs/>
          <w:color w:val="000000"/>
          <w:sz w:val="28"/>
          <w:szCs w:val="28"/>
        </w:rPr>
        <w:t>提名意见</w:t>
      </w:r>
      <w:r>
        <w:rPr>
          <w:rFonts w:ascii="仿宋" w:eastAsia="仿宋" w:hAnsi="仿宋" w:cs="仿宋" w:hint="eastAsia"/>
          <w:color w:val="000000"/>
          <w:sz w:val="28"/>
          <w:szCs w:val="28"/>
        </w:rPr>
        <w:t>：</w:t>
      </w:r>
    </w:p>
    <w:p w14:paraId="0FB1738E" w14:textId="77777777" w:rsidR="00813308" w:rsidRDefault="00813308" w:rsidP="00813308">
      <w:pPr>
        <w:autoSpaceDE w:val="0"/>
        <w:autoSpaceDN w:val="0"/>
        <w:adjustRightInd w:val="0"/>
        <w:snapToGrid w:val="0"/>
        <w:spacing w:beforeLines="50" w:before="156" w:line="400" w:lineRule="exact"/>
        <w:ind w:firstLineChars="200" w:firstLine="560"/>
        <w:rPr>
          <w:rFonts w:ascii="仿宋" w:eastAsia="仿宋" w:hAnsi="仿宋" w:cs="仿宋" w:hint="eastAsia"/>
          <w:color w:val="000000"/>
          <w:sz w:val="28"/>
          <w:szCs w:val="28"/>
        </w:rPr>
      </w:pPr>
      <w:r>
        <w:rPr>
          <w:rFonts w:ascii="仿宋" w:eastAsia="仿宋" w:hAnsi="仿宋" w:cs="仿宋" w:hint="eastAsia"/>
          <w:color w:val="000000"/>
          <w:sz w:val="28"/>
          <w:szCs w:val="28"/>
        </w:rPr>
        <w:t>候选人积极</w:t>
      </w:r>
      <w:proofErr w:type="gramStart"/>
      <w:r>
        <w:rPr>
          <w:rFonts w:ascii="仿宋" w:eastAsia="仿宋" w:hAnsi="仿宋" w:cs="仿宋" w:hint="eastAsia"/>
          <w:color w:val="000000"/>
          <w:sz w:val="28"/>
          <w:szCs w:val="28"/>
        </w:rPr>
        <w:t>践行</w:t>
      </w:r>
      <w:proofErr w:type="gramEnd"/>
      <w:r>
        <w:rPr>
          <w:rFonts w:ascii="仿宋" w:eastAsia="仿宋" w:hAnsi="仿宋" w:cs="仿宋" w:hint="eastAsia"/>
          <w:color w:val="000000"/>
          <w:sz w:val="28"/>
          <w:szCs w:val="28"/>
        </w:rPr>
        <w:t>党的二十届三中全会明确提出的“推动科技创新和产业创新融合发展”战略，</w:t>
      </w:r>
      <w:r>
        <w:rPr>
          <w:rFonts w:ascii="仿宋" w:eastAsia="仿宋" w:hAnsi="仿宋" w:cs="仿宋" w:hint="eastAsia"/>
          <w:bCs/>
          <w:sz w:val="28"/>
          <w:szCs w:val="28"/>
        </w:rPr>
        <w:t>坚定贯彻落实江西省“1269”行动计划，</w:t>
      </w:r>
      <w:r>
        <w:rPr>
          <w:rFonts w:ascii="仿宋" w:eastAsia="仿宋" w:hAnsi="仿宋" w:cs="仿宋"/>
          <w:bCs/>
          <w:sz w:val="28"/>
          <w:szCs w:val="28"/>
        </w:rPr>
        <w:t>引领了VR技术与产业融合示范性应用，</w:t>
      </w:r>
      <w:r>
        <w:rPr>
          <w:rFonts w:ascii="仿宋" w:eastAsia="仿宋" w:hAnsi="仿宋" w:cs="仿宋" w:hint="eastAsia"/>
          <w:bCs/>
          <w:sz w:val="28"/>
          <w:szCs w:val="28"/>
        </w:rPr>
        <w:t>特别是</w:t>
      </w:r>
      <w:r>
        <w:rPr>
          <w:rFonts w:ascii="仿宋" w:eastAsia="仿宋" w:hAnsi="仿宋" w:cs="仿宋"/>
          <w:bCs/>
          <w:sz w:val="28"/>
          <w:szCs w:val="28"/>
        </w:rPr>
        <w:t>深入我国电力造价软件领军企业</w:t>
      </w:r>
      <w:r>
        <w:rPr>
          <w:rFonts w:ascii="仿宋" w:eastAsia="仿宋" w:hAnsi="仿宋" w:cs="仿宋" w:hint="eastAsia"/>
          <w:bCs/>
          <w:sz w:val="28"/>
          <w:szCs w:val="28"/>
        </w:rPr>
        <w:t>并</w:t>
      </w:r>
      <w:r>
        <w:rPr>
          <w:rFonts w:ascii="仿宋" w:eastAsia="仿宋" w:hAnsi="仿宋" w:cs="仿宋"/>
          <w:bCs/>
          <w:sz w:val="28"/>
          <w:szCs w:val="28"/>
        </w:rPr>
        <w:t>主导研发了具有自主知识产权的大规模复杂三维场景数字化关键技术和平台</w:t>
      </w:r>
      <w:r>
        <w:rPr>
          <w:rFonts w:ascii="仿宋" w:eastAsia="仿宋" w:hAnsi="仿宋" w:cs="仿宋" w:hint="eastAsia"/>
          <w:bCs/>
          <w:sz w:val="28"/>
          <w:szCs w:val="28"/>
        </w:rPr>
        <w:t>，相关成果在电力数字化等多个领域实现应用推广，经济效益显著，</w:t>
      </w:r>
      <w:r>
        <w:rPr>
          <w:rFonts w:ascii="仿宋" w:eastAsia="仿宋" w:hAnsi="仿宋" w:cs="仿宋"/>
          <w:bCs/>
          <w:sz w:val="28"/>
          <w:szCs w:val="28"/>
        </w:rPr>
        <w:t>经国务院参事、中国工程院院士戴琼海等专家鉴定：“总体达到国际先进水平，部分达到国际领先水平”</w:t>
      </w:r>
      <w:r>
        <w:rPr>
          <w:rFonts w:ascii="仿宋" w:eastAsia="仿宋" w:hAnsi="仿宋" w:cs="仿宋" w:hint="eastAsia"/>
          <w:bCs/>
          <w:sz w:val="28"/>
          <w:szCs w:val="28"/>
        </w:rPr>
        <w:t>，获2022年度江西省技术发明奖二等奖（排名第一）。</w:t>
      </w:r>
    </w:p>
    <w:p w14:paraId="248D1E59" w14:textId="77777777" w:rsidR="00813308" w:rsidRDefault="00813308" w:rsidP="00813308">
      <w:pPr>
        <w:rPr>
          <w:rFonts w:ascii="仿宋" w:eastAsia="仿宋" w:hAnsi="仿宋" w:cs="仿宋" w:hint="eastAsia"/>
          <w:b/>
          <w:snapToGrid w:val="0"/>
          <w:kern w:val="0"/>
          <w:sz w:val="28"/>
          <w:szCs w:val="28"/>
        </w:rPr>
      </w:pPr>
      <w:r>
        <w:rPr>
          <w:rFonts w:ascii="仿宋" w:eastAsia="仿宋" w:hAnsi="仿宋" w:cs="仿宋" w:hint="eastAsia"/>
          <w:b/>
          <w:snapToGrid w:val="0"/>
          <w:kern w:val="0"/>
          <w:sz w:val="28"/>
          <w:szCs w:val="28"/>
        </w:rPr>
        <w:br w:type="page"/>
      </w:r>
    </w:p>
    <w:p w14:paraId="54D1F341" w14:textId="77777777" w:rsidR="00813308" w:rsidRDefault="00813308" w:rsidP="00813308">
      <w:pPr>
        <w:pStyle w:val="2"/>
        <w:rPr>
          <w:rFonts w:ascii="仿宋" w:eastAsia="仿宋" w:hAnsi="仿宋" w:cs="仿宋"/>
          <w:snapToGrid w:val="0"/>
          <w:sz w:val="28"/>
          <w:szCs w:val="28"/>
        </w:rPr>
      </w:pPr>
      <w:r>
        <w:rPr>
          <w:rFonts w:ascii="仿宋" w:eastAsia="仿宋" w:hAnsi="仿宋" w:cs="仿宋"/>
          <w:snapToGrid w:val="0"/>
          <w:sz w:val="28"/>
          <w:szCs w:val="28"/>
        </w:rPr>
        <w:lastRenderedPageBreak/>
        <w:t>三、候选人的主要科学技术成就与贡献</w:t>
      </w:r>
    </w:p>
    <w:p w14:paraId="156DE3ED" w14:textId="77777777" w:rsidR="00813308" w:rsidRDefault="00813308" w:rsidP="00813308">
      <w:pPr>
        <w:autoSpaceDE w:val="0"/>
        <w:autoSpaceDN w:val="0"/>
        <w:adjustRightInd w:val="0"/>
        <w:snapToGrid w:val="0"/>
        <w:spacing w:beforeLines="50" w:before="156" w:line="400" w:lineRule="exact"/>
        <w:ind w:firstLineChars="200" w:firstLine="560"/>
        <w:rPr>
          <w:rFonts w:ascii="仿宋" w:eastAsia="仿宋" w:hAnsi="仿宋" w:cs="仿宋" w:hint="eastAsia"/>
          <w:bCs/>
          <w:sz w:val="28"/>
          <w:szCs w:val="28"/>
        </w:rPr>
      </w:pPr>
      <w:r>
        <w:rPr>
          <w:rFonts w:ascii="仿宋" w:eastAsia="仿宋" w:hAnsi="仿宋" w:cs="仿宋"/>
          <w:bCs/>
          <w:sz w:val="28"/>
          <w:szCs w:val="28"/>
        </w:rPr>
        <w:t>党的二十届三中全会明确提出“加强创新资源统筹和力量组织，推动科技创新和产业创新融合发展”。候选人作为江西省 VR 技术创新和产业应用的</w:t>
      </w:r>
      <w:proofErr w:type="gramStart"/>
      <w:r>
        <w:rPr>
          <w:rFonts w:ascii="仿宋" w:eastAsia="仿宋" w:hAnsi="仿宋" w:cs="仿宋"/>
          <w:bCs/>
          <w:sz w:val="28"/>
          <w:szCs w:val="28"/>
        </w:rPr>
        <w:t>践行</w:t>
      </w:r>
      <w:proofErr w:type="gramEnd"/>
      <w:r>
        <w:rPr>
          <w:rFonts w:ascii="仿宋" w:eastAsia="仿宋" w:hAnsi="仿宋" w:cs="仿宋"/>
          <w:bCs/>
          <w:sz w:val="28"/>
          <w:szCs w:val="28"/>
        </w:rPr>
        <w:t>者，</w:t>
      </w:r>
      <w:r>
        <w:rPr>
          <w:rFonts w:ascii="仿宋" w:eastAsia="仿宋" w:hAnsi="仿宋" w:cs="仿宋" w:hint="eastAsia"/>
          <w:bCs/>
          <w:sz w:val="28"/>
          <w:szCs w:val="28"/>
        </w:rPr>
        <w:t>坚定贯彻落实江西省产业链现代化“1269”行动计划，</w:t>
      </w:r>
      <w:r>
        <w:rPr>
          <w:rFonts w:ascii="仿宋" w:eastAsia="仿宋" w:hAnsi="仿宋" w:cs="仿宋"/>
          <w:bCs/>
          <w:sz w:val="28"/>
          <w:szCs w:val="28"/>
        </w:rPr>
        <w:t>引领了 VR 技术与产业融合示范性应用，</w:t>
      </w:r>
      <w:r>
        <w:rPr>
          <w:rFonts w:ascii="仿宋" w:eastAsia="仿宋" w:hAnsi="仿宋" w:cs="仿宋" w:hint="eastAsia"/>
          <w:bCs/>
          <w:sz w:val="28"/>
          <w:szCs w:val="28"/>
        </w:rPr>
        <w:t>特别是</w:t>
      </w:r>
      <w:r>
        <w:rPr>
          <w:rFonts w:ascii="仿宋" w:eastAsia="仿宋" w:hAnsi="仿宋" w:cs="仿宋"/>
          <w:bCs/>
          <w:sz w:val="28"/>
          <w:szCs w:val="28"/>
        </w:rPr>
        <w:t>深入我国电力造价软件领军企业开展面向三维电力场景数字化关键技术系统性科技攻关，主导研发了具有自主知识产权的大规模复杂三维场景数字化关键技术和平台</w:t>
      </w:r>
      <w:r>
        <w:rPr>
          <w:rFonts w:ascii="仿宋" w:eastAsia="仿宋" w:hAnsi="仿宋" w:cs="仿宋" w:hint="eastAsia"/>
          <w:bCs/>
          <w:sz w:val="28"/>
          <w:szCs w:val="28"/>
        </w:rPr>
        <w:t>，</w:t>
      </w:r>
      <w:r>
        <w:rPr>
          <w:rFonts w:ascii="仿宋" w:eastAsia="仿宋" w:hAnsi="仿宋" w:cs="仿宋"/>
          <w:bCs/>
          <w:sz w:val="28"/>
          <w:szCs w:val="28"/>
        </w:rPr>
        <w:t>经国务院参事、中国工程院院士戴琼海等专家鉴定：“总体达到国际先进水平，部分达到国际领先水平”，对我国进一步巩固电力</w:t>
      </w:r>
      <w:r>
        <w:rPr>
          <w:rFonts w:ascii="仿宋" w:eastAsia="仿宋" w:hAnsi="仿宋" w:cs="仿宋" w:hint="eastAsia"/>
          <w:bCs/>
          <w:sz w:val="28"/>
          <w:szCs w:val="28"/>
        </w:rPr>
        <w:t>技术</w:t>
      </w:r>
      <w:r>
        <w:rPr>
          <w:rFonts w:ascii="仿宋" w:eastAsia="仿宋" w:hAnsi="仿宋" w:cs="仿宋"/>
          <w:bCs/>
          <w:sz w:val="28"/>
          <w:szCs w:val="28"/>
        </w:rPr>
        <w:t>国际领先优势和能源安全具有重要意义和广阔应用前景。</w:t>
      </w:r>
      <w:r>
        <w:rPr>
          <w:rFonts w:ascii="仿宋" w:eastAsia="仿宋" w:hAnsi="仿宋" w:cs="仿宋" w:hint="eastAsia"/>
          <w:bCs/>
          <w:sz w:val="28"/>
          <w:szCs w:val="28"/>
        </w:rPr>
        <w:t>近年来，候选人围绕VR技术研发取得了系列显著成效：</w:t>
      </w:r>
    </w:p>
    <w:p w14:paraId="33CDB05F" w14:textId="77777777" w:rsidR="00813308" w:rsidRDefault="00813308" w:rsidP="00813308">
      <w:pPr>
        <w:autoSpaceDE w:val="0"/>
        <w:autoSpaceDN w:val="0"/>
        <w:adjustRightInd w:val="0"/>
        <w:snapToGrid w:val="0"/>
        <w:spacing w:beforeLines="50" w:before="156" w:line="40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在学术</w:t>
      </w:r>
      <w:r>
        <w:rPr>
          <w:rFonts w:ascii="仿宋" w:eastAsia="仿宋" w:hAnsi="仿宋" w:cs="仿宋"/>
          <w:bCs/>
          <w:sz w:val="28"/>
          <w:szCs w:val="28"/>
        </w:rPr>
        <w:t>创新成果</w:t>
      </w:r>
      <w:r>
        <w:rPr>
          <w:rFonts w:ascii="仿宋" w:eastAsia="仿宋" w:hAnsi="仿宋" w:cs="仿宋" w:hint="eastAsia"/>
          <w:bCs/>
          <w:sz w:val="28"/>
          <w:szCs w:val="28"/>
        </w:rPr>
        <w:t>方面，出版专著 3 部，在 CACAIE（一区 Top 期刊）、ACM TOG（CCF-A）等高水平期刊和会议上发表论文 40 余篇，其中发表在 IEEE TVCG （CCF-A）期刊的论文被多位国内外著名专家关注并在 ACM MM等重要期刊、会议论文中被索引；</w:t>
      </w:r>
      <w:r>
        <w:rPr>
          <w:rFonts w:ascii="仿宋" w:eastAsia="仿宋" w:hAnsi="仿宋" w:cs="仿宋"/>
          <w:bCs/>
          <w:sz w:val="28"/>
          <w:szCs w:val="28"/>
        </w:rPr>
        <w:t>江西省杰</w:t>
      </w:r>
      <w:proofErr w:type="gramStart"/>
      <w:r>
        <w:rPr>
          <w:rFonts w:ascii="仿宋" w:eastAsia="仿宋" w:hAnsi="仿宋" w:cs="仿宋"/>
          <w:bCs/>
          <w:sz w:val="28"/>
          <w:szCs w:val="28"/>
        </w:rPr>
        <w:t>青项目</w:t>
      </w:r>
      <w:proofErr w:type="gramEnd"/>
      <w:r>
        <w:rPr>
          <w:rFonts w:ascii="仿宋" w:eastAsia="仿宋" w:hAnsi="仿宋" w:cs="仿宋"/>
          <w:bCs/>
          <w:sz w:val="28"/>
          <w:szCs w:val="28"/>
        </w:rPr>
        <w:t>获得者，入选江西省“双千计划”（青年）、</w:t>
      </w:r>
      <w:r>
        <w:rPr>
          <w:rFonts w:ascii="仿宋" w:eastAsia="仿宋" w:hAnsi="仿宋" w:cs="仿宋" w:hint="eastAsia"/>
          <w:bCs/>
          <w:sz w:val="28"/>
          <w:szCs w:val="28"/>
        </w:rPr>
        <w:t>江西</w:t>
      </w:r>
      <w:r>
        <w:rPr>
          <w:rFonts w:ascii="仿宋" w:eastAsia="仿宋" w:hAnsi="仿宋" w:cs="仿宋"/>
          <w:bCs/>
          <w:sz w:val="28"/>
          <w:szCs w:val="28"/>
        </w:rPr>
        <w:t>省第二批级 VR 产业创新创业优秀人才团队</w:t>
      </w:r>
      <w:r>
        <w:rPr>
          <w:rFonts w:ascii="仿宋" w:eastAsia="仿宋" w:hAnsi="仿宋" w:cs="仿宋" w:hint="eastAsia"/>
          <w:bCs/>
          <w:sz w:val="28"/>
          <w:szCs w:val="28"/>
        </w:rPr>
        <w:t>；主持3项国家自然科学基金、2项中国博士后基金等在内近30项课题，获授权发明专利15项（部分实现转化）。</w:t>
      </w:r>
    </w:p>
    <w:p w14:paraId="74F40BF8" w14:textId="77777777" w:rsidR="00813308" w:rsidRDefault="00813308" w:rsidP="00813308">
      <w:pPr>
        <w:autoSpaceDE w:val="0"/>
        <w:autoSpaceDN w:val="0"/>
        <w:adjustRightInd w:val="0"/>
        <w:snapToGrid w:val="0"/>
        <w:spacing w:beforeLines="50" w:before="156" w:line="40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在</w:t>
      </w:r>
      <w:r>
        <w:rPr>
          <w:rFonts w:ascii="仿宋" w:eastAsia="仿宋" w:hAnsi="仿宋" w:cs="仿宋"/>
          <w:bCs/>
          <w:sz w:val="28"/>
          <w:szCs w:val="28"/>
        </w:rPr>
        <w:t>产业服务与应用</w:t>
      </w:r>
      <w:r>
        <w:rPr>
          <w:rFonts w:ascii="仿宋" w:eastAsia="仿宋" w:hAnsi="仿宋" w:cs="仿宋" w:hint="eastAsia"/>
          <w:bCs/>
          <w:sz w:val="28"/>
          <w:szCs w:val="28"/>
        </w:rPr>
        <w:t>方面，针对当前大规模复杂三维场景应用问题展开技术攻关，相关成果在电力行业数字化建设、城市及交通数字化管理与传统产业数字化服务等多个领域实现良好的应用推广，经济效益显著，获2022年度江西省技术发明奖二等奖（排名第一）、2022年度中国铁道学会科学技术奖三等奖。</w:t>
      </w:r>
    </w:p>
    <w:p w14:paraId="7C2EB915" w14:textId="3C5DD883" w:rsidR="002D4985" w:rsidRPr="00813308" w:rsidRDefault="00813308" w:rsidP="00813308">
      <w:pPr>
        <w:autoSpaceDE w:val="0"/>
        <w:autoSpaceDN w:val="0"/>
        <w:adjustRightInd w:val="0"/>
        <w:snapToGrid w:val="0"/>
        <w:spacing w:beforeLines="50" w:before="156" w:line="400" w:lineRule="exact"/>
        <w:ind w:firstLineChars="200" w:firstLine="560"/>
        <w:rPr>
          <w:rFonts w:hint="eastAsia"/>
        </w:rPr>
      </w:pPr>
      <w:r>
        <w:rPr>
          <w:rFonts w:ascii="仿宋" w:eastAsia="仿宋" w:hAnsi="仿宋" w:cs="仿宋" w:hint="eastAsia"/>
          <w:bCs/>
          <w:sz w:val="28"/>
          <w:szCs w:val="28"/>
        </w:rPr>
        <w:t>此外，</w:t>
      </w:r>
      <w:r>
        <w:rPr>
          <w:rFonts w:ascii="仿宋" w:eastAsia="仿宋" w:hAnsi="仿宋" w:cs="仿宋"/>
          <w:bCs/>
          <w:sz w:val="28"/>
          <w:szCs w:val="28"/>
        </w:rPr>
        <w:t>党的二十届三中全会强调了教育、科技、人才在中国式现代化中基础性、战略性的支撑作用，并明确提出要深入实施科教兴国战略、人才强国战略、创新驱动发展战略。候选人始终坚持贯彻落实新发展理念，紧密结合江西省VR产业特色和优势，积极探索新工科理念下 VR 创新型人才培养的新模式与新路径，2022 年主编出版的《虚拟现实导论》已被 30 余所高校选作教材；指导学生多次获得“挑战杯”等国家级奖项、省级优秀毕业论文等奖项；主讲项目获 2024 年江西省虚拟现实教学应用创新大赛特等奖；2019 年以来牵头申报、建设的虚拟现实技术专业于 2023 年“软科”排名全国第二。</w:t>
      </w:r>
    </w:p>
    <w:sectPr w:rsidR="002D4985" w:rsidRPr="0081330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29C645" w14:textId="77777777" w:rsidR="002B5391" w:rsidRDefault="002B5391" w:rsidP="00813308">
      <w:pPr>
        <w:rPr>
          <w:rFonts w:hint="eastAsia"/>
        </w:rPr>
      </w:pPr>
      <w:r>
        <w:separator/>
      </w:r>
    </w:p>
  </w:endnote>
  <w:endnote w:type="continuationSeparator" w:id="0">
    <w:p w14:paraId="41483BE2" w14:textId="77777777" w:rsidR="002B5391" w:rsidRDefault="002B5391" w:rsidP="0081330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3EFB1E" w14:textId="77777777" w:rsidR="002B5391" w:rsidRDefault="002B5391" w:rsidP="00813308">
      <w:pPr>
        <w:rPr>
          <w:rFonts w:hint="eastAsia"/>
        </w:rPr>
      </w:pPr>
      <w:r>
        <w:separator/>
      </w:r>
    </w:p>
  </w:footnote>
  <w:footnote w:type="continuationSeparator" w:id="0">
    <w:p w14:paraId="04D4DD7D" w14:textId="77777777" w:rsidR="002B5391" w:rsidRDefault="002B5391" w:rsidP="00813308">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AC3"/>
    <w:rsid w:val="00050161"/>
    <w:rsid w:val="00063431"/>
    <w:rsid w:val="00080DBC"/>
    <w:rsid w:val="002B5391"/>
    <w:rsid w:val="002D4985"/>
    <w:rsid w:val="003B145B"/>
    <w:rsid w:val="003B2768"/>
    <w:rsid w:val="004103CA"/>
    <w:rsid w:val="006C6EC6"/>
    <w:rsid w:val="007F5AC3"/>
    <w:rsid w:val="00813308"/>
    <w:rsid w:val="00BA5561"/>
    <w:rsid w:val="00C1650A"/>
    <w:rsid w:val="00C917A7"/>
    <w:rsid w:val="00E95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47E9FC"/>
  <w15:chartTrackingRefBased/>
  <w15:docId w15:val="{AC9BA39F-FBB4-475F-B3F4-FF40E9C8D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3308"/>
    <w:pPr>
      <w:widowControl w:val="0"/>
      <w:jc w:val="both"/>
    </w:pPr>
  </w:style>
  <w:style w:type="paragraph" w:styleId="2">
    <w:name w:val="heading 2"/>
    <w:basedOn w:val="a"/>
    <w:next w:val="a"/>
    <w:link w:val="20"/>
    <w:uiPriority w:val="9"/>
    <w:semiHidden/>
    <w:unhideWhenUsed/>
    <w:qFormat/>
    <w:rsid w:val="00813308"/>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13308"/>
    <w:pPr>
      <w:tabs>
        <w:tab w:val="center" w:pos="4153"/>
        <w:tab w:val="right" w:pos="8306"/>
      </w:tabs>
      <w:snapToGrid w:val="0"/>
      <w:jc w:val="center"/>
    </w:pPr>
    <w:rPr>
      <w:sz w:val="18"/>
      <w:szCs w:val="18"/>
    </w:rPr>
  </w:style>
  <w:style w:type="character" w:customStyle="1" w:styleId="a4">
    <w:name w:val="页眉 字符"/>
    <w:basedOn w:val="a0"/>
    <w:link w:val="a3"/>
    <w:uiPriority w:val="99"/>
    <w:rsid w:val="00813308"/>
    <w:rPr>
      <w:sz w:val="18"/>
      <w:szCs w:val="18"/>
    </w:rPr>
  </w:style>
  <w:style w:type="paragraph" w:styleId="a5">
    <w:name w:val="footer"/>
    <w:basedOn w:val="a"/>
    <w:link w:val="a6"/>
    <w:uiPriority w:val="99"/>
    <w:unhideWhenUsed/>
    <w:rsid w:val="00813308"/>
    <w:pPr>
      <w:tabs>
        <w:tab w:val="center" w:pos="4153"/>
        <w:tab w:val="right" w:pos="8306"/>
      </w:tabs>
      <w:snapToGrid w:val="0"/>
      <w:jc w:val="left"/>
    </w:pPr>
    <w:rPr>
      <w:sz w:val="18"/>
      <w:szCs w:val="18"/>
    </w:rPr>
  </w:style>
  <w:style w:type="character" w:customStyle="1" w:styleId="a6">
    <w:name w:val="页脚 字符"/>
    <w:basedOn w:val="a0"/>
    <w:link w:val="a5"/>
    <w:uiPriority w:val="99"/>
    <w:rsid w:val="00813308"/>
    <w:rPr>
      <w:sz w:val="18"/>
      <w:szCs w:val="18"/>
    </w:rPr>
  </w:style>
  <w:style w:type="character" w:customStyle="1" w:styleId="20">
    <w:name w:val="标题 2 字符"/>
    <w:basedOn w:val="a0"/>
    <w:link w:val="2"/>
    <w:uiPriority w:val="9"/>
    <w:semiHidden/>
    <w:rsid w:val="00813308"/>
    <w:rPr>
      <w:rFonts w:ascii="宋体" w:eastAsia="宋体" w:hAnsi="宋体" w:cs="Times New Roman"/>
      <w:b/>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243</Words>
  <Characters>1391</Characters>
  <Application>Microsoft Office Word</Application>
  <DocSecurity>0</DocSecurity>
  <Lines>11</Lines>
  <Paragraphs>3</Paragraphs>
  <ScaleCrop>false</ScaleCrop>
  <Company/>
  <LinksUpToDate>false</LinksUpToDate>
  <CharactersWithSpaces>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mao</dc:creator>
  <cp:keywords/>
  <dc:description/>
  <cp:lastModifiedBy>yu mao</cp:lastModifiedBy>
  <cp:revision>2</cp:revision>
  <dcterms:created xsi:type="dcterms:W3CDTF">2024-12-12T08:38:00Z</dcterms:created>
  <dcterms:modified xsi:type="dcterms:W3CDTF">2024-12-12T08:39:00Z</dcterms:modified>
</cp:coreProperties>
</file>