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B796A0" w14:textId="77777777" w:rsidR="0063609A"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hint="eastAsia"/>
          <w:b/>
          <w:bCs/>
          <w:sz w:val="32"/>
          <w:szCs w:val="32"/>
        </w:rPr>
        <w:t>候选人：孙吉江</w:t>
      </w:r>
    </w:p>
    <w:p w14:paraId="308CB1BD" w14:textId="77777777" w:rsidR="0063609A"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hint="eastAsia"/>
          <w:b/>
          <w:bCs/>
          <w:sz w:val="32"/>
          <w:szCs w:val="32"/>
        </w:rPr>
        <w:t>提名单位：江西省教育厅</w:t>
      </w:r>
    </w:p>
    <w:p w14:paraId="17CAB434" w14:textId="77777777" w:rsidR="0063609A"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hint="eastAsia"/>
          <w:b/>
          <w:bCs/>
          <w:sz w:val="32"/>
          <w:szCs w:val="32"/>
        </w:rPr>
        <w:t>提名奖种：江西省科学技术青年奖</w:t>
      </w:r>
    </w:p>
    <w:p w14:paraId="73E8CE2A" w14:textId="77777777" w:rsidR="0063609A"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hint="eastAsia"/>
          <w:b/>
          <w:bCs/>
          <w:sz w:val="32"/>
          <w:szCs w:val="32"/>
        </w:rPr>
        <w:t>提名意见：</w:t>
      </w:r>
    </w:p>
    <w:p w14:paraId="2668D8F0" w14:textId="1F5732DA" w:rsidR="00E33923" w:rsidRDefault="00000000" w:rsidP="00E33923">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候选人聚焦非线性泛函分析基础研究领域的前沿热点问题，取得了一系列重要的创新性研究成果，丰富和拓展了相关理论研究，推动了学科发展，以第一完成人身份获得了2023年度江西省自然科学奖二等奖。候选人代表性成果不仅具有重要的学术价值和影响力，还具有潜在的应用前景和社会价值，能够帮助揭示各种非线性因素之间的相互作用关系以及对解的个数和性质的影响，从而有助于人们加深理解和认识自然界中的非线性现象，这也为解决其他非线性问题提供重要参考。</w:t>
      </w:r>
    </w:p>
    <w:p w14:paraId="73FC6139" w14:textId="6A99B95B" w:rsidR="0063609A" w:rsidRDefault="00000000" w:rsidP="00E33923">
      <w:pPr>
        <w:spacing w:line="360" w:lineRule="auto"/>
        <w:rPr>
          <w:rFonts w:ascii="仿宋_GB2312" w:eastAsia="仿宋_GB2312" w:hAnsi="宋体" w:hint="eastAsia"/>
          <w:b/>
          <w:bCs/>
          <w:sz w:val="32"/>
          <w:szCs w:val="32"/>
        </w:rPr>
      </w:pPr>
      <w:r>
        <w:rPr>
          <w:rFonts w:ascii="仿宋_GB2312" w:eastAsia="仿宋_GB2312" w:hAnsi="宋体" w:hint="eastAsia"/>
          <w:b/>
          <w:bCs/>
          <w:sz w:val="32"/>
          <w:szCs w:val="32"/>
        </w:rPr>
        <w:t>候选人工作单位：南昌大学</w:t>
      </w:r>
    </w:p>
    <w:p w14:paraId="0172F124" w14:textId="77777777" w:rsidR="0063609A"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hint="eastAsia"/>
          <w:b/>
          <w:bCs/>
          <w:sz w:val="32"/>
          <w:szCs w:val="32"/>
        </w:rPr>
        <w:t>候选人简介：</w:t>
      </w:r>
    </w:p>
    <w:p w14:paraId="060E4C63" w14:textId="77777777" w:rsidR="0063609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sz w:val="24"/>
          <w:szCs w:val="24"/>
        </w:rPr>
        <w:t>候选人从事基础理论研究，主要研究领域为非线性泛函分析，研究方向为变分法及其在偏微分方程中的应用。候选人成果丰硕，以第一完成人身份荣获2023年度江西省自然科学奖二等奖，以第一作者或者通讯作者发表SCI论文二十余篇，主持国家自然科学基金项目3项，主持包括杰出青年基金项目在内的江西省自然科学基金项目5项。候选人近些年以变分问题的定性研究为驱动，聚焦非线性泛函分析研究领域前沿热点问题，研究薛定</w:t>
      </w:r>
      <w:proofErr w:type="gramStart"/>
      <w:r>
        <w:rPr>
          <w:rFonts w:ascii="宋体" w:eastAsia="宋体" w:hAnsi="宋体" w:cs="宋体"/>
          <w:sz w:val="24"/>
          <w:szCs w:val="24"/>
        </w:rPr>
        <w:t>谔</w:t>
      </w:r>
      <w:proofErr w:type="gramEnd"/>
      <w:r>
        <w:rPr>
          <w:rFonts w:ascii="宋体" w:eastAsia="宋体" w:hAnsi="宋体" w:cs="宋体"/>
          <w:sz w:val="24"/>
          <w:szCs w:val="24"/>
        </w:rPr>
        <w:t>-泊松系统、FPU型格点动力系统和基尔霍夫型方程等几类经典的具有变分结构的微分方程的可解性和解的性态相关问题，取得了一系列重要的创新性研究成果，丰富和拓展了相关理论研究，推动了学科发展。特别地，候选人以第一作者身份发表的五项代表性成果具有重要的学术价值和影响力。具体来说：</w:t>
      </w:r>
    </w:p>
    <w:p w14:paraId="171826B8" w14:textId="77777777" w:rsidR="0063609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sz w:val="24"/>
          <w:szCs w:val="24"/>
        </w:rPr>
        <w:t>针对薛定</w:t>
      </w:r>
      <w:proofErr w:type="gramStart"/>
      <w:r>
        <w:rPr>
          <w:rFonts w:ascii="宋体" w:eastAsia="宋体" w:hAnsi="宋体" w:cs="宋体"/>
          <w:sz w:val="24"/>
          <w:szCs w:val="24"/>
        </w:rPr>
        <w:t>谔</w:t>
      </w:r>
      <w:proofErr w:type="gramEnd"/>
      <w:r>
        <w:rPr>
          <w:rFonts w:ascii="宋体" w:eastAsia="宋体" w:hAnsi="宋体" w:cs="宋体"/>
          <w:sz w:val="24"/>
          <w:szCs w:val="24"/>
        </w:rPr>
        <w:t>-泊松系统，利用单调技巧、</w:t>
      </w:r>
      <w:proofErr w:type="spellStart"/>
      <w:r>
        <w:rPr>
          <w:rFonts w:ascii="宋体" w:eastAsia="宋体" w:hAnsi="宋体" w:cs="宋体"/>
          <w:sz w:val="24"/>
          <w:szCs w:val="24"/>
        </w:rPr>
        <w:t>Pohozaev</w:t>
      </w:r>
      <w:proofErr w:type="spellEnd"/>
      <w:r>
        <w:rPr>
          <w:rFonts w:ascii="宋体" w:eastAsia="宋体" w:hAnsi="宋体" w:cs="宋体"/>
          <w:sz w:val="24"/>
          <w:szCs w:val="24"/>
        </w:rPr>
        <w:t>恒等式、Palais-Smale序列分解以及集中紧性原理等工具研究了非线性</w:t>
      </w:r>
      <w:proofErr w:type="gramStart"/>
      <w:r>
        <w:rPr>
          <w:rFonts w:ascii="宋体" w:eastAsia="宋体" w:hAnsi="宋体" w:cs="宋体"/>
          <w:sz w:val="24"/>
          <w:szCs w:val="24"/>
        </w:rPr>
        <w:t>项满足非幂</w:t>
      </w:r>
      <w:proofErr w:type="gramEnd"/>
      <w:r>
        <w:rPr>
          <w:rFonts w:ascii="宋体" w:eastAsia="宋体" w:hAnsi="宋体" w:cs="宋体"/>
          <w:sz w:val="24"/>
          <w:szCs w:val="24"/>
        </w:rPr>
        <w:t xml:space="preserve">次增长条件下基态解的存在性问题，大大推广了西班牙数学家D. Ruiz发表在J. </w:t>
      </w:r>
      <w:proofErr w:type="spellStart"/>
      <w:r>
        <w:rPr>
          <w:rFonts w:ascii="宋体" w:eastAsia="宋体" w:hAnsi="宋体" w:cs="宋体"/>
          <w:sz w:val="24"/>
          <w:szCs w:val="24"/>
        </w:rPr>
        <w:t>Funct</w:t>
      </w:r>
      <w:proofErr w:type="spellEnd"/>
      <w:r>
        <w:rPr>
          <w:rFonts w:ascii="宋体" w:eastAsia="宋体" w:hAnsi="宋体" w:cs="宋体"/>
          <w:sz w:val="24"/>
          <w:szCs w:val="24"/>
        </w:rPr>
        <w:t>. Anal.上的</w:t>
      </w:r>
      <w:r>
        <w:rPr>
          <w:rFonts w:ascii="宋体" w:eastAsia="宋体" w:hAnsi="宋体" w:cs="宋体"/>
          <w:sz w:val="24"/>
          <w:szCs w:val="24"/>
        </w:rPr>
        <w:lastRenderedPageBreak/>
        <w:t xml:space="preserve">结果。该成果发表在微分方程TOP期刊J. Differ. </w:t>
      </w:r>
      <w:proofErr w:type="spellStart"/>
      <w:r>
        <w:rPr>
          <w:rFonts w:ascii="宋体" w:eastAsia="宋体" w:hAnsi="宋体" w:cs="宋体"/>
          <w:sz w:val="24"/>
          <w:szCs w:val="24"/>
        </w:rPr>
        <w:t>Equ</w:t>
      </w:r>
      <w:proofErr w:type="spellEnd"/>
      <w:r>
        <w:rPr>
          <w:rFonts w:ascii="宋体" w:eastAsia="宋体" w:hAnsi="宋体" w:cs="宋体"/>
          <w:sz w:val="24"/>
          <w:szCs w:val="24"/>
        </w:rPr>
        <w:t>.上（见代表性成果1），曾为ESI热点论文，现为ESI高被引论文，目前他引105次。针对FPU型格点动力系统，首先将Bartsch-Ding处理强不定问题的抽象临界点理论推广到更一般的</w:t>
      </w:r>
      <w:proofErr w:type="gramStart"/>
      <w:r>
        <w:rPr>
          <w:rFonts w:ascii="宋体" w:eastAsia="宋体" w:hAnsi="宋体" w:cs="宋体"/>
          <w:sz w:val="24"/>
          <w:szCs w:val="24"/>
        </w:rPr>
        <w:t>对称集</w:t>
      </w:r>
      <w:proofErr w:type="gramEnd"/>
      <w:r>
        <w:rPr>
          <w:rFonts w:ascii="宋体" w:eastAsia="宋体" w:hAnsi="宋体" w:cs="宋体"/>
          <w:sz w:val="24"/>
          <w:szCs w:val="24"/>
        </w:rPr>
        <w:t xml:space="preserve">类中并利用该定理得到了带有更一般超二次增长位势的FPU型格点动力系统周期解的存在性和多重性，大大推广了已有文献结果，该成果发表在微分方程TOP期刊J. Differ. </w:t>
      </w:r>
      <w:proofErr w:type="spellStart"/>
      <w:r>
        <w:rPr>
          <w:rFonts w:ascii="宋体" w:eastAsia="宋体" w:hAnsi="宋体" w:cs="宋体"/>
          <w:sz w:val="24"/>
          <w:szCs w:val="24"/>
        </w:rPr>
        <w:t>Equ</w:t>
      </w:r>
      <w:proofErr w:type="spellEnd"/>
      <w:r>
        <w:rPr>
          <w:rFonts w:ascii="宋体" w:eastAsia="宋体" w:hAnsi="宋体" w:cs="宋体"/>
          <w:sz w:val="24"/>
          <w:szCs w:val="24"/>
        </w:rPr>
        <w:t xml:space="preserve">.上（见代表性成果2），目前他引2次；其次利用极小极大理论、谱理论以及集中紧性原理等工具首次研究了一类带有渐近二次增长位势的FPU型格点动力系统的周期运动，回答了美国数学家A. Pankov提出的公开问题。该成果发表在微分方程国际权威期刊J. Dyn. Differ. </w:t>
      </w:r>
      <w:proofErr w:type="spellStart"/>
      <w:r>
        <w:rPr>
          <w:rFonts w:ascii="宋体" w:eastAsia="宋体" w:hAnsi="宋体" w:cs="宋体"/>
          <w:sz w:val="24"/>
          <w:szCs w:val="24"/>
        </w:rPr>
        <w:t>Equ</w:t>
      </w:r>
      <w:proofErr w:type="spellEnd"/>
      <w:r>
        <w:rPr>
          <w:rFonts w:ascii="宋体" w:eastAsia="宋体" w:hAnsi="宋体" w:cs="宋体"/>
          <w:sz w:val="24"/>
          <w:szCs w:val="24"/>
        </w:rPr>
        <w:t>.上，目前他引2次。针对基尔霍夫型方程，首先利用形变引理、弱环绕定理和新的构造技巧首次研究了一类带有狄利克雷边界条件的基尔霍夫型方程在任意特征值处的共振问题，这个结果得到同行评审的高度评价，该成果发表在微分方程TOP期刊Discrete Contin. Dyn. Syst上（见代表性成果4），目前他引21次；其次利用下降流不变集、形变引理、极小极大理论以及扰动方法等工具研究了一类基尔霍夫型方程无穷多个</w:t>
      </w:r>
      <w:proofErr w:type="gramStart"/>
      <w:r>
        <w:rPr>
          <w:rFonts w:ascii="宋体" w:eastAsia="宋体" w:hAnsi="宋体" w:cs="宋体"/>
          <w:sz w:val="24"/>
          <w:szCs w:val="24"/>
        </w:rPr>
        <w:t>变号解</w:t>
      </w:r>
      <w:proofErr w:type="gramEnd"/>
      <w:r>
        <w:rPr>
          <w:rFonts w:ascii="宋体" w:eastAsia="宋体" w:hAnsi="宋体" w:cs="宋体"/>
          <w:sz w:val="24"/>
          <w:szCs w:val="24"/>
        </w:rPr>
        <w:t>的存在性问题，所考虑的非线性项涵盖低于三次增长情形，该成果发表在分析领域国际权威期刊Nonlinear Anal.上（见代表性成果5），曾被列为ESI高被引论文，目前他引39次。</w:t>
      </w:r>
    </w:p>
    <w:p w14:paraId="142627ED" w14:textId="77777777" w:rsidR="0063609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sz w:val="24"/>
          <w:szCs w:val="24"/>
        </w:rPr>
        <w:t>候选人代表性成果还具有潜在的应用前景和社会价值。这些成果聚焦的这几类经典问题模型具有非常强的物理背景，在量子力学、光纤通讯、弹性力学和生物系统等研究领域有着重要的应用潜力，能够帮助揭示各种非线性因素之间的相互作用关系以及对解的个数及性质的影响，从而有助于人们加深理解和认识自然界中的非线性现象，问题研究中提供的思想和方法也为解决其他非线性问题提供重要参考。</w:t>
      </w:r>
    </w:p>
    <w:p w14:paraId="5D144786" w14:textId="77777777" w:rsidR="0063609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sz w:val="24"/>
          <w:szCs w:val="24"/>
        </w:rPr>
        <w:t>候选人具备强烈的爱国情怀和坚定的思想政治素质，学风正派，治学严谨，注重团队合作和学术交流，积极</w:t>
      </w:r>
      <w:proofErr w:type="gramStart"/>
      <w:r>
        <w:rPr>
          <w:rFonts w:ascii="宋体" w:eastAsia="宋体" w:hAnsi="宋体" w:cs="宋体"/>
          <w:sz w:val="24"/>
          <w:szCs w:val="24"/>
        </w:rPr>
        <w:t>践行</w:t>
      </w:r>
      <w:proofErr w:type="gramEnd"/>
      <w:r>
        <w:rPr>
          <w:rFonts w:ascii="宋体" w:eastAsia="宋体" w:hAnsi="宋体" w:cs="宋体"/>
          <w:sz w:val="24"/>
          <w:szCs w:val="24"/>
        </w:rPr>
        <w:t>科学家精神，具有较大的发展潜力，其研究成果和创新思维在未来有望引领相关领域的进一步发展。</w:t>
      </w:r>
    </w:p>
    <w:p w14:paraId="4F7D8AF5" w14:textId="77777777" w:rsidR="0063609A"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b/>
          <w:bCs/>
          <w:sz w:val="32"/>
          <w:szCs w:val="32"/>
        </w:rPr>
        <w:t>代表性科技成果</w:t>
      </w:r>
      <w:r>
        <w:rPr>
          <w:rFonts w:ascii="仿宋_GB2312" w:eastAsia="仿宋_GB2312" w:hAnsi="宋体" w:hint="eastAsia"/>
          <w:b/>
          <w:bCs/>
          <w:sz w:val="32"/>
          <w:szCs w:val="32"/>
        </w:rPr>
        <w:t>：</w:t>
      </w:r>
    </w:p>
    <w:tbl>
      <w:tblPr>
        <w:tblpPr w:leftFromText="180" w:rightFromText="180" w:vertAnchor="text" w:horzAnchor="page" w:tblpXSpec="center" w:tblpY="346"/>
        <w:tblOverlap w:val="never"/>
        <w:tblW w:w="545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64"/>
        <w:gridCol w:w="2846"/>
        <w:gridCol w:w="1888"/>
        <w:gridCol w:w="1212"/>
        <w:gridCol w:w="737"/>
        <w:gridCol w:w="995"/>
        <w:gridCol w:w="990"/>
      </w:tblGrid>
      <w:tr w:rsidR="0063609A" w14:paraId="56158F44" w14:textId="77777777">
        <w:trPr>
          <w:trHeight w:val="283"/>
          <w:jc w:val="center"/>
        </w:trPr>
        <w:tc>
          <w:tcPr>
            <w:tcW w:w="201" w:type="pct"/>
            <w:vAlign w:val="center"/>
          </w:tcPr>
          <w:p w14:paraId="469FDF06" w14:textId="77777777" w:rsidR="0063609A" w:rsidRDefault="00000000">
            <w:pPr>
              <w:adjustRightInd w:val="0"/>
              <w:snapToGrid w:val="0"/>
              <w:jc w:val="center"/>
              <w:rPr>
                <w:rFonts w:ascii="Times New Roman" w:hAnsi="Times New Roman" w:cs="Times New Roman"/>
                <w:b/>
                <w:color w:val="000000"/>
                <w:sz w:val="16"/>
                <w:szCs w:val="16"/>
              </w:rPr>
            </w:pPr>
            <w:r>
              <w:rPr>
                <w:rFonts w:ascii="Times New Roman" w:hAnsi="Times New Roman" w:cs="Times New Roman"/>
                <w:b/>
                <w:color w:val="000000"/>
                <w:sz w:val="16"/>
                <w:szCs w:val="16"/>
              </w:rPr>
              <w:t>序号</w:t>
            </w:r>
          </w:p>
        </w:tc>
        <w:tc>
          <w:tcPr>
            <w:tcW w:w="1574" w:type="pct"/>
            <w:vAlign w:val="center"/>
          </w:tcPr>
          <w:p w14:paraId="309706B9" w14:textId="77777777" w:rsidR="0063609A" w:rsidRDefault="00000000">
            <w:pPr>
              <w:adjustRightInd w:val="0"/>
              <w:snapToGrid w:val="0"/>
              <w:jc w:val="center"/>
              <w:rPr>
                <w:rFonts w:ascii="Times New Roman" w:hAnsi="Times New Roman" w:cs="Times New Roman"/>
                <w:b/>
                <w:color w:val="000000"/>
                <w:sz w:val="16"/>
                <w:szCs w:val="16"/>
              </w:rPr>
            </w:pPr>
            <w:r>
              <w:rPr>
                <w:rFonts w:ascii="Times New Roman" w:hAnsi="Times New Roman" w:cs="Times New Roman"/>
                <w:b/>
                <w:color w:val="000000"/>
                <w:sz w:val="16"/>
                <w:szCs w:val="16"/>
              </w:rPr>
              <w:t>论文</w:t>
            </w:r>
            <w:r>
              <w:rPr>
                <w:rFonts w:ascii="Times New Roman" w:hAnsi="Times New Roman" w:cs="Times New Roman"/>
                <w:b/>
                <w:color w:val="000000"/>
                <w:sz w:val="16"/>
                <w:szCs w:val="16"/>
              </w:rPr>
              <w:t>(</w:t>
            </w:r>
            <w:r>
              <w:rPr>
                <w:rFonts w:ascii="Times New Roman" w:hAnsi="Times New Roman" w:cs="Times New Roman"/>
                <w:b/>
                <w:color w:val="000000"/>
                <w:sz w:val="16"/>
                <w:szCs w:val="16"/>
              </w:rPr>
              <w:t>著作</w:t>
            </w:r>
            <w:r>
              <w:rPr>
                <w:rFonts w:ascii="Times New Roman" w:hAnsi="Times New Roman" w:cs="Times New Roman"/>
                <w:b/>
                <w:color w:val="000000"/>
                <w:sz w:val="16"/>
                <w:szCs w:val="16"/>
              </w:rPr>
              <w:t>)</w:t>
            </w:r>
            <w:r>
              <w:rPr>
                <w:rFonts w:ascii="Times New Roman" w:hAnsi="Times New Roman" w:cs="Times New Roman"/>
                <w:b/>
                <w:color w:val="000000"/>
                <w:sz w:val="16"/>
                <w:szCs w:val="16"/>
              </w:rPr>
              <w:t>名称</w:t>
            </w:r>
          </w:p>
        </w:tc>
        <w:tc>
          <w:tcPr>
            <w:tcW w:w="1044" w:type="pct"/>
            <w:vAlign w:val="center"/>
          </w:tcPr>
          <w:p w14:paraId="0FE09C74" w14:textId="77777777" w:rsidR="0063609A" w:rsidRDefault="00000000">
            <w:pPr>
              <w:adjustRightInd w:val="0"/>
              <w:snapToGrid w:val="0"/>
              <w:jc w:val="center"/>
              <w:rPr>
                <w:rFonts w:ascii="Times New Roman" w:hAnsi="Times New Roman" w:cs="Times New Roman"/>
                <w:b/>
                <w:color w:val="000000"/>
                <w:sz w:val="16"/>
                <w:szCs w:val="16"/>
              </w:rPr>
            </w:pPr>
            <w:r>
              <w:rPr>
                <w:rFonts w:ascii="Times New Roman" w:hAnsi="Times New Roman" w:cs="Times New Roman"/>
                <w:b/>
                <w:color w:val="000000"/>
                <w:sz w:val="16"/>
                <w:szCs w:val="16"/>
              </w:rPr>
              <w:t>刊名</w:t>
            </w:r>
            <w:r>
              <w:rPr>
                <w:rFonts w:ascii="Times New Roman" w:hAnsi="Times New Roman" w:cs="Times New Roman"/>
                <w:b/>
                <w:color w:val="000000"/>
                <w:sz w:val="16"/>
                <w:szCs w:val="16"/>
              </w:rPr>
              <w:t>/</w:t>
            </w:r>
            <w:r>
              <w:rPr>
                <w:rFonts w:ascii="Times New Roman" w:hAnsi="Times New Roman" w:cs="Times New Roman"/>
                <w:b/>
                <w:color w:val="000000"/>
                <w:sz w:val="16"/>
                <w:szCs w:val="16"/>
              </w:rPr>
              <w:t>出版社</w:t>
            </w:r>
          </w:p>
        </w:tc>
        <w:tc>
          <w:tcPr>
            <w:tcW w:w="671" w:type="pct"/>
            <w:vAlign w:val="center"/>
          </w:tcPr>
          <w:p w14:paraId="75F2F5E1" w14:textId="77777777" w:rsidR="0063609A" w:rsidRDefault="00000000">
            <w:pPr>
              <w:adjustRightInd w:val="0"/>
              <w:snapToGrid w:val="0"/>
              <w:jc w:val="center"/>
              <w:rPr>
                <w:rFonts w:ascii="Times New Roman" w:hAnsi="Times New Roman" w:cs="Times New Roman"/>
                <w:b/>
                <w:color w:val="000000"/>
                <w:sz w:val="16"/>
                <w:szCs w:val="16"/>
              </w:rPr>
            </w:pPr>
            <w:r>
              <w:rPr>
                <w:rFonts w:ascii="Times New Roman" w:hAnsi="Times New Roman" w:cs="Times New Roman"/>
                <w:b/>
                <w:color w:val="000000"/>
                <w:sz w:val="16"/>
                <w:szCs w:val="16"/>
              </w:rPr>
              <w:t>年卷期</w:t>
            </w:r>
          </w:p>
          <w:p w14:paraId="48444C05" w14:textId="77777777" w:rsidR="0063609A" w:rsidRDefault="00000000">
            <w:pPr>
              <w:adjustRightInd w:val="0"/>
              <w:snapToGrid w:val="0"/>
              <w:jc w:val="center"/>
              <w:rPr>
                <w:rFonts w:ascii="Times New Roman" w:hAnsi="Times New Roman" w:cs="Times New Roman"/>
                <w:b/>
                <w:color w:val="000000"/>
                <w:sz w:val="16"/>
                <w:szCs w:val="16"/>
              </w:rPr>
            </w:pPr>
            <w:r>
              <w:rPr>
                <w:rFonts w:ascii="Times New Roman" w:hAnsi="Times New Roman" w:cs="Times New Roman"/>
                <w:b/>
                <w:color w:val="000000"/>
                <w:sz w:val="16"/>
                <w:szCs w:val="16"/>
              </w:rPr>
              <w:t>页码</w:t>
            </w:r>
          </w:p>
        </w:tc>
        <w:tc>
          <w:tcPr>
            <w:tcW w:w="408" w:type="pct"/>
            <w:vAlign w:val="center"/>
          </w:tcPr>
          <w:p w14:paraId="075846BA" w14:textId="77777777" w:rsidR="0063609A" w:rsidRDefault="00000000">
            <w:pPr>
              <w:adjustRightInd w:val="0"/>
              <w:snapToGrid w:val="0"/>
              <w:jc w:val="center"/>
              <w:rPr>
                <w:rFonts w:ascii="Times New Roman" w:hAnsi="Times New Roman" w:cs="Times New Roman"/>
                <w:b/>
                <w:color w:val="000000"/>
                <w:sz w:val="16"/>
                <w:szCs w:val="16"/>
              </w:rPr>
            </w:pPr>
            <w:r>
              <w:rPr>
                <w:rFonts w:ascii="Times New Roman" w:hAnsi="Times New Roman" w:cs="Times New Roman"/>
                <w:b/>
                <w:color w:val="000000"/>
                <w:sz w:val="16"/>
                <w:szCs w:val="16"/>
              </w:rPr>
              <w:t>发表</w:t>
            </w:r>
          </w:p>
          <w:p w14:paraId="58331685" w14:textId="77777777" w:rsidR="0063609A" w:rsidRDefault="00000000">
            <w:pPr>
              <w:adjustRightInd w:val="0"/>
              <w:snapToGrid w:val="0"/>
              <w:jc w:val="center"/>
              <w:rPr>
                <w:rFonts w:ascii="Times New Roman" w:hAnsi="Times New Roman" w:cs="Times New Roman"/>
                <w:b/>
                <w:color w:val="000000"/>
                <w:sz w:val="16"/>
                <w:szCs w:val="16"/>
              </w:rPr>
            </w:pPr>
            <w:r>
              <w:rPr>
                <w:rFonts w:ascii="Times New Roman" w:hAnsi="Times New Roman" w:cs="Times New Roman"/>
                <w:b/>
                <w:color w:val="000000"/>
                <w:sz w:val="16"/>
                <w:szCs w:val="16"/>
              </w:rPr>
              <w:t>时间</w:t>
            </w:r>
          </w:p>
        </w:tc>
        <w:tc>
          <w:tcPr>
            <w:tcW w:w="551" w:type="pct"/>
            <w:vAlign w:val="center"/>
          </w:tcPr>
          <w:p w14:paraId="0E707E42" w14:textId="77777777" w:rsidR="0063609A" w:rsidRDefault="00000000">
            <w:pPr>
              <w:adjustRightInd w:val="0"/>
              <w:snapToGrid w:val="0"/>
              <w:jc w:val="center"/>
              <w:rPr>
                <w:rFonts w:ascii="Times New Roman" w:hAnsi="Times New Roman" w:cs="Times New Roman"/>
                <w:b/>
                <w:color w:val="000000"/>
                <w:sz w:val="16"/>
                <w:szCs w:val="16"/>
              </w:rPr>
            </w:pPr>
            <w:r>
              <w:rPr>
                <w:rFonts w:ascii="Times New Roman" w:hAnsi="Times New Roman" w:cs="Times New Roman"/>
                <w:b/>
                <w:color w:val="000000"/>
                <w:sz w:val="16"/>
                <w:szCs w:val="16"/>
              </w:rPr>
              <w:t>第一</w:t>
            </w:r>
          </w:p>
          <w:p w14:paraId="50D4AEE0" w14:textId="77777777" w:rsidR="0063609A" w:rsidRDefault="00000000">
            <w:pPr>
              <w:adjustRightInd w:val="0"/>
              <w:snapToGrid w:val="0"/>
              <w:jc w:val="center"/>
              <w:rPr>
                <w:rFonts w:ascii="Times New Roman" w:hAnsi="Times New Roman" w:cs="Times New Roman"/>
                <w:b/>
                <w:color w:val="000000"/>
                <w:sz w:val="16"/>
                <w:szCs w:val="16"/>
              </w:rPr>
            </w:pPr>
            <w:r>
              <w:rPr>
                <w:rFonts w:ascii="Times New Roman" w:hAnsi="Times New Roman" w:cs="Times New Roman"/>
                <w:b/>
                <w:color w:val="000000"/>
                <w:sz w:val="16"/>
                <w:szCs w:val="16"/>
              </w:rPr>
              <w:t>作者</w:t>
            </w:r>
          </w:p>
        </w:tc>
        <w:tc>
          <w:tcPr>
            <w:tcW w:w="548" w:type="pct"/>
            <w:vAlign w:val="center"/>
          </w:tcPr>
          <w:p w14:paraId="3C0F9D85" w14:textId="77777777" w:rsidR="0063609A" w:rsidRDefault="00000000">
            <w:pPr>
              <w:adjustRightInd w:val="0"/>
              <w:snapToGrid w:val="0"/>
              <w:jc w:val="center"/>
              <w:rPr>
                <w:rFonts w:ascii="Times New Roman" w:hAnsi="Times New Roman" w:cs="Times New Roman"/>
                <w:b/>
                <w:color w:val="000000"/>
                <w:sz w:val="16"/>
                <w:szCs w:val="16"/>
              </w:rPr>
            </w:pPr>
            <w:r>
              <w:rPr>
                <w:rFonts w:ascii="Times New Roman" w:hAnsi="Times New Roman" w:cs="Times New Roman"/>
                <w:b/>
                <w:color w:val="000000"/>
                <w:sz w:val="16"/>
                <w:szCs w:val="16"/>
              </w:rPr>
              <w:t>通讯</w:t>
            </w:r>
          </w:p>
          <w:p w14:paraId="56E3A5DF" w14:textId="77777777" w:rsidR="0063609A" w:rsidRDefault="00000000">
            <w:pPr>
              <w:adjustRightInd w:val="0"/>
              <w:snapToGrid w:val="0"/>
              <w:jc w:val="center"/>
              <w:rPr>
                <w:rFonts w:ascii="Times New Roman" w:hAnsi="Times New Roman" w:cs="Times New Roman"/>
                <w:b/>
                <w:color w:val="000000"/>
                <w:sz w:val="16"/>
                <w:szCs w:val="16"/>
              </w:rPr>
            </w:pPr>
            <w:r>
              <w:rPr>
                <w:rFonts w:ascii="Times New Roman" w:hAnsi="Times New Roman" w:cs="Times New Roman"/>
                <w:b/>
                <w:color w:val="000000"/>
                <w:sz w:val="16"/>
                <w:szCs w:val="16"/>
              </w:rPr>
              <w:t>作者</w:t>
            </w:r>
          </w:p>
        </w:tc>
      </w:tr>
      <w:tr w:rsidR="0063609A" w14:paraId="001CEC73" w14:textId="77777777">
        <w:trPr>
          <w:trHeight w:val="90"/>
          <w:jc w:val="center"/>
        </w:trPr>
        <w:tc>
          <w:tcPr>
            <w:tcW w:w="201" w:type="pct"/>
            <w:vAlign w:val="center"/>
          </w:tcPr>
          <w:p w14:paraId="7CF5A1B4" w14:textId="77777777" w:rsidR="0063609A" w:rsidRDefault="00000000">
            <w:pPr>
              <w:jc w:val="center"/>
              <w:rPr>
                <w:rFonts w:ascii="Times New Roman" w:hAnsi="Times New Roman" w:cs="Times New Roman"/>
                <w:sz w:val="16"/>
                <w:szCs w:val="16"/>
              </w:rPr>
            </w:pPr>
            <w:r>
              <w:rPr>
                <w:rFonts w:ascii="Times New Roman" w:hAnsi="Times New Roman" w:cs="Times New Roman"/>
                <w:sz w:val="16"/>
                <w:szCs w:val="16"/>
              </w:rPr>
              <w:lastRenderedPageBreak/>
              <w:t>1</w:t>
            </w:r>
          </w:p>
        </w:tc>
        <w:tc>
          <w:tcPr>
            <w:tcW w:w="1574" w:type="pct"/>
            <w:vAlign w:val="center"/>
          </w:tcPr>
          <w:p w14:paraId="28641D34" w14:textId="77777777" w:rsidR="0063609A" w:rsidRDefault="00000000">
            <w:pPr>
              <w:jc w:val="center"/>
              <w:rPr>
                <w:rFonts w:ascii="Times New Roman" w:hAnsi="Times New Roman" w:cs="Times New Roman"/>
                <w:sz w:val="20"/>
                <w:szCs w:val="20"/>
              </w:rPr>
            </w:pPr>
            <w:r>
              <w:rPr>
                <w:rFonts w:ascii="Times New Roman" w:hAnsi="Times New Roman" w:cs="Times New Roman"/>
                <w:sz w:val="20"/>
                <w:szCs w:val="20"/>
              </w:rPr>
              <w:t>Ground state solutions for some Schrödinger-Poisson systems with periodic potentials</w:t>
            </w:r>
          </w:p>
        </w:tc>
        <w:tc>
          <w:tcPr>
            <w:tcW w:w="1044" w:type="pct"/>
            <w:vAlign w:val="center"/>
          </w:tcPr>
          <w:p w14:paraId="40C99C10" w14:textId="77777777" w:rsidR="0063609A" w:rsidRDefault="00000000">
            <w:pPr>
              <w:jc w:val="center"/>
              <w:rPr>
                <w:rFonts w:ascii="Times New Roman" w:hAnsi="Times New Roman" w:cs="Times New Roman"/>
                <w:sz w:val="20"/>
                <w:szCs w:val="20"/>
              </w:rPr>
            </w:pPr>
            <w:r>
              <w:rPr>
                <w:rFonts w:ascii="Times New Roman" w:hAnsi="Times New Roman" w:cs="Times New Roman"/>
                <w:sz w:val="20"/>
                <w:szCs w:val="20"/>
              </w:rPr>
              <w:t>Journal of Differential Equations</w:t>
            </w:r>
          </w:p>
        </w:tc>
        <w:tc>
          <w:tcPr>
            <w:tcW w:w="671" w:type="pct"/>
            <w:vAlign w:val="center"/>
          </w:tcPr>
          <w:p w14:paraId="05E8F226" w14:textId="77777777" w:rsidR="0063609A" w:rsidRDefault="00000000">
            <w:pPr>
              <w:jc w:val="center"/>
              <w:rPr>
                <w:rFonts w:ascii="Times New Roman" w:hAnsi="Times New Roman" w:cs="Times New Roman"/>
                <w:sz w:val="20"/>
                <w:szCs w:val="20"/>
              </w:rPr>
            </w:pPr>
            <w:r>
              <w:rPr>
                <w:rFonts w:ascii="Times New Roman" w:hAnsi="Times New Roman" w:cs="Times New Roman"/>
                <w:sz w:val="20"/>
                <w:szCs w:val="20"/>
              </w:rPr>
              <w:t>2016, 260(3), 2119-2149</w:t>
            </w:r>
          </w:p>
        </w:tc>
        <w:tc>
          <w:tcPr>
            <w:tcW w:w="408" w:type="pct"/>
            <w:vAlign w:val="center"/>
          </w:tcPr>
          <w:p w14:paraId="6710BEBA" w14:textId="77777777" w:rsidR="0063609A" w:rsidRDefault="00000000">
            <w:pPr>
              <w:jc w:val="center"/>
              <w:rPr>
                <w:rFonts w:ascii="Times New Roman" w:eastAsia="宋体" w:hAnsi="Times New Roman" w:cs="Times New Roman"/>
                <w:sz w:val="20"/>
                <w:szCs w:val="20"/>
              </w:rPr>
            </w:pPr>
            <w:r>
              <w:rPr>
                <w:rFonts w:ascii="Times New Roman" w:hAnsi="Times New Roman" w:cs="Times New Roman"/>
                <w:sz w:val="20"/>
                <w:szCs w:val="20"/>
              </w:rPr>
              <w:t>2016-02</w:t>
            </w:r>
          </w:p>
        </w:tc>
        <w:tc>
          <w:tcPr>
            <w:tcW w:w="551" w:type="pct"/>
            <w:vAlign w:val="center"/>
          </w:tcPr>
          <w:p w14:paraId="5FBA0450" w14:textId="77777777" w:rsidR="0063609A" w:rsidRDefault="00000000">
            <w:pPr>
              <w:jc w:val="center"/>
              <w:rPr>
                <w:rFonts w:ascii="Times New Roman" w:eastAsia="宋体" w:hAnsi="Times New Roman" w:cs="Times New Roman"/>
                <w:sz w:val="20"/>
                <w:szCs w:val="20"/>
              </w:rPr>
            </w:pPr>
            <w:proofErr w:type="spellStart"/>
            <w:r>
              <w:rPr>
                <w:rFonts w:ascii="Times New Roman" w:hAnsi="Times New Roman" w:cs="Times New Roman"/>
                <w:sz w:val="20"/>
                <w:szCs w:val="20"/>
              </w:rPr>
              <w:t>Jijiang</w:t>
            </w:r>
            <w:proofErr w:type="spellEnd"/>
            <w:r>
              <w:rPr>
                <w:rFonts w:ascii="Times New Roman" w:hAnsi="Times New Roman" w:cs="Times New Roman"/>
                <w:sz w:val="20"/>
                <w:szCs w:val="20"/>
              </w:rPr>
              <w:t xml:space="preserve"> Sun</w:t>
            </w:r>
          </w:p>
        </w:tc>
        <w:tc>
          <w:tcPr>
            <w:tcW w:w="548" w:type="pct"/>
            <w:vAlign w:val="center"/>
          </w:tcPr>
          <w:p w14:paraId="027421C0" w14:textId="77777777" w:rsidR="0063609A" w:rsidRDefault="00000000">
            <w:pPr>
              <w:jc w:val="center"/>
              <w:rPr>
                <w:rFonts w:ascii="Times New Roman" w:eastAsia="宋体" w:hAnsi="Times New Roman" w:cs="Times New Roman"/>
                <w:sz w:val="20"/>
                <w:szCs w:val="20"/>
              </w:rPr>
            </w:pPr>
            <w:proofErr w:type="spellStart"/>
            <w:r>
              <w:rPr>
                <w:rFonts w:ascii="Times New Roman" w:hAnsi="Times New Roman" w:cs="Times New Roman"/>
                <w:sz w:val="20"/>
                <w:szCs w:val="20"/>
              </w:rPr>
              <w:t>Shiwang</w:t>
            </w:r>
            <w:proofErr w:type="spellEnd"/>
            <w:r>
              <w:rPr>
                <w:rFonts w:ascii="Times New Roman" w:hAnsi="Times New Roman" w:cs="Times New Roman"/>
                <w:sz w:val="20"/>
                <w:szCs w:val="20"/>
              </w:rPr>
              <w:t xml:space="preserve"> Ma</w:t>
            </w:r>
          </w:p>
        </w:tc>
      </w:tr>
      <w:tr w:rsidR="0063609A" w14:paraId="3DF1EF7B" w14:textId="77777777">
        <w:trPr>
          <w:trHeight w:val="90"/>
          <w:jc w:val="center"/>
        </w:trPr>
        <w:tc>
          <w:tcPr>
            <w:tcW w:w="201" w:type="pct"/>
            <w:vAlign w:val="center"/>
          </w:tcPr>
          <w:p w14:paraId="5F34892E" w14:textId="77777777" w:rsidR="0063609A" w:rsidRDefault="00000000">
            <w:pPr>
              <w:jc w:val="center"/>
              <w:rPr>
                <w:rFonts w:ascii="Times New Roman" w:hAnsi="Times New Roman" w:cs="Times New Roman"/>
                <w:sz w:val="16"/>
                <w:szCs w:val="16"/>
              </w:rPr>
            </w:pPr>
            <w:r>
              <w:rPr>
                <w:rFonts w:ascii="Times New Roman" w:hAnsi="Times New Roman" w:cs="Times New Roman" w:hint="eastAsia"/>
                <w:sz w:val="16"/>
                <w:szCs w:val="16"/>
              </w:rPr>
              <w:t>2</w:t>
            </w:r>
          </w:p>
        </w:tc>
        <w:tc>
          <w:tcPr>
            <w:tcW w:w="1574" w:type="pct"/>
            <w:vAlign w:val="center"/>
          </w:tcPr>
          <w:p w14:paraId="33B440CF" w14:textId="77777777" w:rsidR="0063609A" w:rsidRDefault="00000000">
            <w:pPr>
              <w:jc w:val="center"/>
              <w:rPr>
                <w:rFonts w:ascii="Times New Roman" w:hAnsi="Times New Roman" w:cs="Times New Roman"/>
                <w:sz w:val="20"/>
                <w:szCs w:val="20"/>
              </w:rPr>
            </w:pPr>
            <w:r>
              <w:rPr>
                <w:rFonts w:ascii="Times New Roman" w:hAnsi="Times New Roman" w:cs="Times New Roman"/>
                <w:sz w:val="20"/>
                <w:szCs w:val="20"/>
              </w:rPr>
              <w:t>Multiple periodic solutions for lattice dynamical systems with superquadratic potentials</w:t>
            </w:r>
          </w:p>
        </w:tc>
        <w:tc>
          <w:tcPr>
            <w:tcW w:w="1044" w:type="pct"/>
            <w:vAlign w:val="center"/>
          </w:tcPr>
          <w:p w14:paraId="6AC6C624" w14:textId="77777777" w:rsidR="0063609A" w:rsidRDefault="00000000">
            <w:pPr>
              <w:jc w:val="center"/>
              <w:rPr>
                <w:rFonts w:ascii="Times New Roman" w:hAnsi="Times New Roman" w:cs="Times New Roman"/>
                <w:sz w:val="20"/>
                <w:szCs w:val="20"/>
              </w:rPr>
            </w:pPr>
            <w:r>
              <w:rPr>
                <w:rFonts w:ascii="Times New Roman" w:hAnsi="Times New Roman" w:cs="Times New Roman"/>
                <w:sz w:val="20"/>
                <w:szCs w:val="20"/>
              </w:rPr>
              <w:t>Journal of Differential Equations</w:t>
            </w:r>
          </w:p>
        </w:tc>
        <w:tc>
          <w:tcPr>
            <w:tcW w:w="671" w:type="pct"/>
            <w:vAlign w:val="center"/>
          </w:tcPr>
          <w:p w14:paraId="10A77AE1" w14:textId="77777777" w:rsidR="0063609A" w:rsidRDefault="00000000">
            <w:pPr>
              <w:jc w:val="center"/>
              <w:rPr>
                <w:rFonts w:ascii="Times New Roman" w:hAnsi="Times New Roman" w:cs="Times New Roman"/>
                <w:sz w:val="20"/>
                <w:szCs w:val="20"/>
              </w:rPr>
            </w:pPr>
            <w:r>
              <w:rPr>
                <w:rFonts w:ascii="Times New Roman" w:hAnsi="Times New Roman" w:cs="Times New Roman" w:hint="eastAsia"/>
                <w:sz w:val="20"/>
                <w:szCs w:val="20"/>
              </w:rPr>
              <w:t>2013,</w:t>
            </w:r>
          </w:p>
          <w:p w14:paraId="488E7DCB" w14:textId="77777777" w:rsidR="0063609A" w:rsidRDefault="00000000">
            <w:pPr>
              <w:jc w:val="center"/>
              <w:rPr>
                <w:rFonts w:ascii="Times New Roman" w:hAnsi="Times New Roman" w:cs="Times New Roman"/>
                <w:sz w:val="20"/>
                <w:szCs w:val="20"/>
              </w:rPr>
            </w:pPr>
            <w:r>
              <w:rPr>
                <w:rFonts w:ascii="Times New Roman" w:hAnsi="Times New Roman" w:cs="Times New Roman" w:hint="eastAsia"/>
                <w:sz w:val="20"/>
                <w:szCs w:val="20"/>
              </w:rPr>
              <w:t xml:space="preserve"> 255(8</w:t>
            </w:r>
            <w:proofErr w:type="gramStart"/>
            <w:r>
              <w:rPr>
                <w:rFonts w:ascii="Times New Roman" w:hAnsi="Times New Roman" w:cs="Times New Roman" w:hint="eastAsia"/>
                <w:sz w:val="20"/>
                <w:szCs w:val="20"/>
              </w:rPr>
              <w:t>) ,</w:t>
            </w:r>
            <w:proofErr w:type="gramEnd"/>
            <w:r>
              <w:rPr>
                <w:rFonts w:ascii="Times New Roman" w:hAnsi="Times New Roman" w:cs="Times New Roman" w:hint="eastAsia"/>
                <w:sz w:val="20"/>
                <w:szCs w:val="20"/>
              </w:rPr>
              <w:t xml:space="preserve"> 2534-2563</w:t>
            </w:r>
          </w:p>
        </w:tc>
        <w:tc>
          <w:tcPr>
            <w:tcW w:w="408" w:type="pct"/>
            <w:vAlign w:val="center"/>
          </w:tcPr>
          <w:p w14:paraId="0AF3E016" w14:textId="77777777" w:rsidR="0063609A" w:rsidRDefault="00000000">
            <w:pPr>
              <w:jc w:val="center"/>
              <w:rPr>
                <w:rFonts w:ascii="Times New Roman" w:hAnsi="Times New Roman" w:cs="Times New Roman"/>
                <w:sz w:val="20"/>
                <w:szCs w:val="20"/>
              </w:rPr>
            </w:pPr>
            <w:r>
              <w:rPr>
                <w:rFonts w:ascii="Times New Roman" w:hAnsi="Times New Roman" w:cs="Times New Roman" w:hint="eastAsia"/>
                <w:sz w:val="20"/>
                <w:szCs w:val="20"/>
              </w:rPr>
              <w:t>2013-10</w:t>
            </w:r>
          </w:p>
        </w:tc>
        <w:tc>
          <w:tcPr>
            <w:tcW w:w="551" w:type="pct"/>
            <w:shd w:val="clear" w:color="auto" w:fill="auto"/>
            <w:vAlign w:val="center"/>
          </w:tcPr>
          <w:p w14:paraId="60F34BA8" w14:textId="77777777" w:rsidR="0063609A" w:rsidRDefault="00000000">
            <w:pPr>
              <w:jc w:val="center"/>
              <w:rPr>
                <w:rFonts w:ascii="Times New Roman" w:eastAsia="宋体" w:hAnsi="Times New Roman" w:cs="Times New Roman"/>
                <w:sz w:val="20"/>
                <w:szCs w:val="20"/>
              </w:rPr>
            </w:pPr>
            <w:proofErr w:type="spellStart"/>
            <w:r>
              <w:rPr>
                <w:rFonts w:ascii="Times New Roman" w:hAnsi="Times New Roman" w:cs="Times New Roman"/>
                <w:sz w:val="20"/>
                <w:szCs w:val="20"/>
              </w:rPr>
              <w:t>Jijiang</w:t>
            </w:r>
            <w:proofErr w:type="spellEnd"/>
            <w:r>
              <w:rPr>
                <w:rFonts w:ascii="Times New Roman" w:hAnsi="Times New Roman" w:cs="Times New Roman"/>
                <w:sz w:val="20"/>
                <w:szCs w:val="20"/>
              </w:rPr>
              <w:t xml:space="preserve"> Sun</w:t>
            </w:r>
          </w:p>
        </w:tc>
        <w:tc>
          <w:tcPr>
            <w:tcW w:w="548" w:type="pct"/>
            <w:shd w:val="clear" w:color="auto" w:fill="auto"/>
            <w:vAlign w:val="center"/>
          </w:tcPr>
          <w:p w14:paraId="01FCC8BA" w14:textId="77777777" w:rsidR="0063609A" w:rsidRDefault="00000000">
            <w:pPr>
              <w:jc w:val="center"/>
              <w:rPr>
                <w:rFonts w:ascii="Times New Roman" w:eastAsia="宋体" w:hAnsi="Times New Roman" w:cs="Times New Roman"/>
                <w:sz w:val="20"/>
                <w:szCs w:val="20"/>
              </w:rPr>
            </w:pPr>
            <w:proofErr w:type="spellStart"/>
            <w:r>
              <w:rPr>
                <w:rFonts w:ascii="Times New Roman" w:hAnsi="Times New Roman" w:cs="Times New Roman"/>
                <w:sz w:val="20"/>
                <w:szCs w:val="20"/>
              </w:rPr>
              <w:t>Shiwang</w:t>
            </w:r>
            <w:proofErr w:type="spellEnd"/>
            <w:r>
              <w:rPr>
                <w:rFonts w:ascii="Times New Roman" w:hAnsi="Times New Roman" w:cs="Times New Roman"/>
                <w:sz w:val="20"/>
                <w:szCs w:val="20"/>
              </w:rPr>
              <w:t xml:space="preserve"> Ma</w:t>
            </w:r>
          </w:p>
        </w:tc>
      </w:tr>
      <w:tr w:rsidR="0063609A" w14:paraId="12A16DB8" w14:textId="77777777">
        <w:trPr>
          <w:trHeight w:val="283"/>
          <w:jc w:val="center"/>
        </w:trPr>
        <w:tc>
          <w:tcPr>
            <w:tcW w:w="201" w:type="pct"/>
            <w:vAlign w:val="center"/>
          </w:tcPr>
          <w:p w14:paraId="03B52014" w14:textId="77777777" w:rsidR="0063609A" w:rsidRDefault="00000000">
            <w:pPr>
              <w:jc w:val="center"/>
              <w:rPr>
                <w:rFonts w:ascii="Times New Roman" w:hAnsi="Times New Roman" w:cs="Times New Roman"/>
                <w:color w:val="000000"/>
                <w:sz w:val="16"/>
                <w:szCs w:val="16"/>
              </w:rPr>
            </w:pPr>
            <w:r>
              <w:rPr>
                <w:rFonts w:ascii="Times New Roman" w:hAnsi="Times New Roman" w:cs="Times New Roman" w:hint="eastAsia"/>
                <w:sz w:val="16"/>
                <w:szCs w:val="16"/>
              </w:rPr>
              <w:t>3</w:t>
            </w:r>
          </w:p>
        </w:tc>
        <w:tc>
          <w:tcPr>
            <w:tcW w:w="1574" w:type="pct"/>
            <w:vAlign w:val="center"/>
          </w:tcPr>
          <w:p w14:paraId="4166B920" w14:textId="77777777" w:rsidR="0063609A" w:rsidRDefault="00000000">
            <w:pPr>
              <w:jc w:val="center"/>
              <w:rPr>
                <w:rFonts w:ascii="Times New Roman" w:hAnsi="Times New Roman" w:cs="Times New Roman"/>
                <w:color w:val="000000"/>
                <w:sz w:val="20"/>
                <w:szCs w:val="20"/>
              </w:rPr>
            </w:pPr>
            <w:r>
              <w:rPr>
                <w:rFonts w:ascii="Times New Roman" w:hAnsi="Times New Roman" w:cs="Times New Roman"/>
                <w:sz w:val="20"/>
                <w:szCs w:val="20"/>
              </w:rPr>
              <w:t>Periodic motions for FPU lattice systems with asymptotically quadratic potentials</w:t>
            </w:r>
          </w:p>
        </w:tc>
        <w:tc>
          <w:tcPr>
            <w:tcW w:w="1044" w:type="pct"/>
            <w:vAlign w:val="center"/>
          </w:tcPr>
          <w:p w14:paraId="2A0FD4A5" w14:textId="77777777" w:rsidR="0063609A" w:rsidRDefault="00000000">
            <w:pPr>
              <w:jc w:val="center"/>
              <w:rPr>
                <w:rFonts w:ascii="Times New Roman" w:hAnsi="Times New Roman" w:cs="Times New Roman"/>
                <w:color w:val="000000"/>
                <w:sz w:val="20"/>
                <w:szCs w:val="20"/>
              </w:rPr>
            </w:pPr>
            <w:r>
              <w:rPr>
                <w:rFonts w:ascii="Times New Roman" w:hAnsi="Times New Roman" w:cs="Times New Roman"/>
                <w:sz w:val="20"/>
                <w:szCs w:val="20"/>
              </w:rPr>
              <w:t>Journal of Dynamics and Differential Equations</w:t>
            </w:r>
          </w:p>
        </w:tc>
        <w:tc>
          <w:tcPr>
            <w:tcW w:w="671" w:type="pct"/>
            <w:vAlign w:val="center"/>
          </w:tcPr>
          <w:p w14:paraId="693803AE" w14:textId="77777777" w:rsidR="0063609A" w:rsidRDefault="00000000">
            <w:pPr>
              <w:jc w:val="center"/>
              <w:rPr>
                <w:rFonts w:ascii="Times New Roman" w:hAnsi="Times New Roman" w:cs="Times New Roman"/>
                <w:color w:val="000000"/>
                <w:sz w:val="20"/>
                <w:szCs w:val="20"/>
              </w:rPr>
            </w:pPr>
            <w:r>
              <w:rPr>
                <w:rFonts w:ascii="Times New Roman" w:hAnsi="Times New Roman" w:cs="Times New Roman"/>
                <w:sz w:val="20"/>
                <w:szCs w:val="20"/>
              </w:rPr>
              <w:t>2019, 31(1), 237-245</w:t>
            </w:r>
          </w:p>
        </w:tc>
        <w:tc>
          <w:tcPr>
            <w:tcW w:w="408" w:type="pct"/>
            <w:vAlign w:val="center"/>
          </w:tcPr>
          <w:p w14:paraId="623A899B" w14:textId="77777777" w:rsidR="0063609A" w:rsidRDefault="00000000">
            <w:pPr>
              <w:jc w:val="center"/>
              <w:rPr>
                <w:rFonts w:ascii="Times New Roman" w:eastAsia="宋体" w:hAnsi="Times New Roman" w:cs="Times New Roman"/>
                <w:color w:val="000000"/>
                <w:sz w:val="20"/>
                <w:szCs w:val="20"/>
              </w:rPr>
            </w:pPr>
            <w:r>
              <w:rPr>
                <w:rFonts w:ascii="Times New Roman" w:hAnsi="Times New Roman" w:cs="Times New Roman"/>
                <w:sz w:val="20"/>
                <w:szCs w:val="20"/>
              </w:rPr>
              <w:t>2019-03</w:t>
            </w:r>
          </w:p>
        </w:tc>
        <w:tc>
          <w:tcPr>
            <w:tcW w:w="551" w:type="pct"/>
            <w:vAlign w:val="center"/>
          </w:tcPr>
          <w:p w14:paraId="60327272" w14:textId="77777777" w:rsidR="0063609A" w:rsidRDefault="00000000">
            <w:pPr>
              <w:jc w:val="center"/>
              <w:rPr>
                <w:rFonts w:ascii="Times New Roman" w:eastAsia="宋体" w:hAnsi="Times New Roman" w:cs="Times New Roman"/>
                <w:color w:val="000000"/>
                <w:sz w:val="20"/>
                <w:szCs w:val="20"/>
              </w:rPr>
            </w:pPr>
            <w:proofErr w:type="spellStart"/>
            <w:r>
              <w:rPr>
                <w:rFonts w:ascii="Times New Roman" w:hAnsi="Times New Roman" w:cs="Times New Roman"/>
                <w:sz w:val="20"/>
                <w:szCs w:val="20"/>
              </w:rPr>
              <w:t>Jijiang</w:t>
            </w:r>
            <w:proofErr w:type="spellEnd"/>
            <w:r>
              <w:rPr>
                <w:rFonts w:ascii="Times New Roman" w:hAnsi="Times New Roman" w:cs="Times New Roman"/>
                <w:sz w:val="20"/>
                <w:szCs w:val="20"/>
              </w:rPr>
              <w:t xml:space="preserve"> Sun</w:t>
            </w:r>
          </w:p>
        </w:tc>
        <w:tc>
          <w:tcPr>
            <w:tcW w:w="548" w:type="pct"/>
            <w:vAlign w:val="center"/>
          </w:tcPr>
          <w:p w14:paraId="4AF739C8" w14:textId="77777777" w:rsidR="0063609A" w:rsidRDefault="00000000">
            <w:pPr>
              <w:jc w:val="center"/>
              <w:rPr>
                <w:rFonts w:ascii="Times New Roman" w:hAnsi="Times New Roman" w:cs="Times New Roman"/>
                <w:color w:val="000000"/>
                <w:sz w:val="20"/>
                <w:szCs w:val="20"/>
              </w:rPr>
            </w:pPr>
            <w:proofErr w:type="spellStart"/>
            <w:r>
              <w:rPr>
                <w:rFonts w:ascii="Times New Roman" w:hAnsi="Times New Roman" w:cs="Times New Roman"/>
                <w:sz w:val="20"/>
                <w:szCs w:val="20"/>
              </w:rPr>
              <w:t>Shiwang</w:t>
            </w:r>
            <w:proofErr w:type="spellEnd"/>
            <w:r>
              <w:rPr>
                <w:rFonts w:ascii="Times New Roman" w:hAnsi="Times New Roman" w:cs="Times New Roman"/>
                <w:sz w:val="20"/>
                <w:szCs w:val="20"/>
              </w:rPr>
              <w:t xml:space="preserve"> Ma</w:t>
            </w:r>
          </w:p>
        </w:tc>
      </w:tr>
      <w:tr w:rsidR="0063609A" w14:paraId="0961C443" w14:textId="77777777">
        <w:trPr>
          <w:trHeight w:val="283"/>
          <w:jc w:val="center"/>
        </w:trPr>
        <w:tc>
          <w:tcPr>
            <w:tcW w:w="201" w:type="pct"/>
            <w:shd w:val="clear" w:color="auto" w:fill="auto"/>
            <w:vAlign w:val="center"/>
          </w:tcPr>
          <w:p w14:paraId="77FA44C7" w14:textId="77777777" w:rsidR="0063609A" w:rsidRDefault="00000000">
            <w:pPr>
              <w:jc w:val="center"/>
              <w:rPr>
                <w:rFonts w:ascii="Times New Roman" w:hAnsi="Times New Roman" w:cs="Times New Roman"/>
                <w:sz w:val="16"/>
                <w:szCs w:val="16"/>
              </w:rPr>
            </w:pPr>
            <w:r>
              <w:rPr>
                <w:rFonts w:ascii="Times New Roman" w:hAnsi="Times New Roman" w:cs="Times New Roman" w:hint="eastAsia"/>
                <w:sz w:val="16"/>
                <w:szCs w:val="16"/>
              </w:rPr>
              <w:t>4</w:t>
            </w:r>
          </w:p>
        </w:tc>
        <w:tc>
          <w:tcPr>
            <w:tcW w:w="1574" w:type="pct"/>
            <w:shd w:val="clear" w:color="auto" w:fill="auto"/>
            <w:vAlign w:val="center"/>
          </w:tcPr>
          <w:p w14:paraId="37FB72C8" w14:textId="77777777" w:rsidR="0063609A" w:rsidRDefault="00000000">
            <w:pPr>
              <w:jc w:val="center"/>
              <w:rPr>
                <w:rFonts w:ascii="Times New Roman" w:hAnsi="Times New Roman" w:cs="Times New Roman"/>
                <w:sz w:val="20"/>
                <w:szCs w:val="20"/>
              </w:rPr>
            </w:pPr>
            <w:r>
              <w:rPr>
                <w:rFonts w:ascii="Times New Roman" w:hAnsi="Times New Roman" w:cs="Times New Roman" w:hint="eastAsia"/>
                <w:sz w:val="20"/>
                <w:szCs w:val="20"/>
              </w:rPr>
              <w:t>Resonance problems for Kirchhoff type equations</w:t>
            </w:r>
          </w:p>
        </w:tc>
        <w:tc>
          <w:tcPr>
            <w:tcW w:w="1044" w:type="pct"/>
            <w:shd w:val="clear" w:color="auto" w:fill="auto"/>
            <w:vAlign w:val="center"/>
          </w:tcPr>
          <w:p w14:paraId="0DE216E6" w14:textId="77777777" w:rsidR="0063609A" w:rsidRDefault="00000000">
            <w:pPr>
              <w:jc w:val="center"/>
              <w:rPr>
                <w:rFonts w:ascii="Times New Roman" w:hAnsi="Times New Roman" w:cs="Times New Roman"/>
                <w:sz w:val="20"/>
                <w:szCs w:val="20"/>
              </w:rPr>
            </w:pPr>
            <w:r>
              <w:rPr>
                <w:rFonts w:ascii="Times New Roman" w:hAnsi="Times New Roman" w:cs="Times New Roman" w:hint="eastAsia"/>
                <w:sz w:val="20"/>
                <w:szCs w:val="20"/>
              </w:rPr>
              <w:t>Discrete and Continuous Dynamical systems</w:t>
            </w:r>
          </w:p>
        </w:tc>
        <w:tc>
          <w:tcPr>
            <w:tcW w:w="671" w:type="pct"/>
            <w:shd w:val="clear" w:color="auto" w:fill="auto"/>
            <w:vAlign w:val="center"/>
          </w:tcPr>
          <w:p w14:paraId="274E9912" w14:textId="77777777" w:rsidR="0063609A" w:rsidRDefault="00000000">
            <w:pPr>
              <w:jc w:val="center"/>
              <w:rPr>
                <w:rFonts w:ascii="Times New Roman" w:hAnsi="Times New Roman" w:cs="Times New Roman"/>
                <w:sz w:val="20"/>
                <w:szCs w:val="20"/>
              </w:rPr>
            </w:pPr>
            <w:r>
              <w:rPr>
                <w:rFonts w:ascii="Times New Roman" w:hAnsi="Times New Roman" w:cs="Times New Roman" w:hint="eastAsia"/>
                <w:sz w:val="20"/>
                <w:szCs w:val="20"/>
              </w:rPr>
              <w:t>2013, 33(5), 2139-2154</w:t>
            </w:r>
          </w:p>
        </w:tc>
        <w:tc>
          <w:tcPr>
            <w:tcW w:w="408" w:type="pct"/>
            <w:shd w:val="clear" w:color="auto" w:fill="auto"/>
            <w:vAlign w:val="center"/>
          </w:tcPr>
          <w:p w14:paraId="162C344F" w14:textId="77777777" w:rsidR="0063609A" w:rsidRDefault="00000000">
            <w:pPr>
              <w:jc w:val="center"/>
              <w:rPr>
                <w:rFonts w:ascii="Times New Roman" w:hAnsi="Times New Roman" w:cs="Times New Roman"/>
                <w:sz w:val="20"/>
                <w:szCs w:val="20"/>
              </w:rPr>
            </w:pPr>
            <w:r>
              <w:rPr>
                <w:rFonts w:ascii="Times New Roman" w:hAnsi="Times New Roman" w:cs="Times New Roman" w:hint="eastAsia"/>
                <w:sz w:val="20"/>
                <w:szCs w:val="20"/>
              </w:rPr>
              <w:t>2013-05</w:t>
            </w:r>
          </w:p>
        </w:tc>
        <w:tc>
          <w:tcPr>
            <w:tcW w:w="551" w:type="pct"/>
            <w:shd w:val="clear" w:color="auto" w:fill="auto"/>
            <w:vAlign w:val="center"/>
          </w:tcPr>
          <w:p w14:paraId="476B16D9" w14:textId="77777777" w:rsidR="0063609A" w:rsidRDefault="00000000">
            <w:pPr>
              <w:jc w:val="center"/>
              <w:rPr>
                <w:rFonts w:ascii="Times New Roman" w:hAnsi="Times New Roman" w:cs="Times New Roman"/>
                <w:sz w:val="20"/>
                <w:szCs w:val="20"/>
              </w:rPr>
            </w:pPr>
            <w:proofErr w:type="spellStart"/>
            <w:r>
              <w:rPr>
                <w:rFonts w:ascii="Times New Roman" w:hAnsi="Times New Roman" w:cs="Times New Roman"/>
                <w:sz w:val="20"/>
                <w:szCs w:val="20"/>
              </w:rPr>
              <w:t>Jijiang</w:t>
            </w:r>
            <w:proofErr w:type="spellEnd"/>
            <w:r>
              <w:rPr>
                <w:rFonts w:ascii="Times New Roman" w:hAnsi="Times New Roman" w:cs="Times New Roman"/>
                <w:sz w:val="20"/>
                <w:szCs w:val="20"/>
              </w:rPr>
              <w:t xml:space="preserve"> Sun</w:t>
            </w:r>
          </w:p>
        </w:tc>
        <w:tc>
          <w:tcPr>
            <w:tcW w:w="548" w:type="pct"/>
            <w:shd w:val="clear" w:color="auto" w:fill="auto"/>
            <w:vAlign w:val="center"/>
          </w:tcPr>
          <w:p w14:paraId="1321BF4F" w14:textId="77777777" w:rsidR="0063609A" w:rsidRDefault="00000000">
            <w:pPr>
              <w:jc w:val="center"/>
              <w:rPr>
                <w:rFonts w:ascii="Times New Roman" w:hAnsi="Times New Roman" w:cs="Times New Roman"/>
                <w:sz w:val="20"/>
                <w:szCs w:val="20"/>
              </w:rPr>
            </w:pPr>
            <w:proofErr w:type="spellStart"/>
            <w:r>
              <w:rPr>
                <w:rFonts w:ascii="Times New Roman" w:hAnsi="Times New Roman" w:cs="Times New Roman" w:hint="eastAsia"/>
                <w:sz w:val="20"/>
                <w:szCs w:val="20"/>
              </w:rPr>
              <w:t>Chunlei</w:t>
            </w:r>
            <w:proofErr w:type="spellEnd"/>
            <w:r>
              <w:rPr>
                <w:rFonts w:ascii="Times New Roman" w:hAnsi="Times New Roman" w:cs="Times New Roman" w:hint="eastAsia"/>
                <w:sz w:val="20"/>
                <w:szCs w:val="20"/>
              </w:rPr>
              <w:t xml:space="preserve"> Tang</w:t>
            </w:r>
          </w:p>
        </w:tc>
      </w:tr>
      <w:tr w:rsidR="0063609A" w14:paraId="06C5C854" w14:textId="77777777">
        <w:trPr>
          <w:trHeight w:val="283"/>
          <w:jc w:val="center"/>
        </w:trPr>
        <w:tc>
          <w:tcPr>
            <w:tcW w:w="201" w:type="pct"/>
            <w:vAlign w:val="center"/>
          </w:tcPr>
          <w:p w14:paraId="529DEAC0" w14:textId="77777777" w:rsidR="0063609A" w:rsidRDefault="00000000">
            <w:pPr>
              <w:jc w:val="center"/>
              <w:rPr>
                <w:rFonts w:ascii="Times New Roman" w:hAnsi="Times New Roman" w:cs="Times New Roman"/>
                <w:color w:val="000000"/>
                <w:sz w:val="16"/>
                <w:szCs w:val="16"/>
              </w:rPr>
            </w:pPr>
            <w:r>
              <w:rPr>
                <w:rFonts w:ascii="Times New Roman" w:hAnsi="Times New Roman" w:cs="Times New Roman" w:hint="eastAsia"/>
                <w:sz w:val="16"/>
                <w:szCs w:val="16"/>
              </w:rPr>
              <w:t>5</w:t>
            </w:r>
          </w:p>
        </w:tc>
        <w:tc>
          <w:tcPr>
            <w:tcW w:w="1574" w:type="pct"/>
            <w:vAlign w:val="center"/>
          </w:tcPr>
          <w:p w14:paraId="415D9F3A" w14:textId="77777777" w:rsidR="0063609A" w:rsidRDefault="00000000">
            <w:pPr>
              <w:jc w:val="center"/>
              <w:rPr>
                <w:rFonts w:ascii="Times New Roman" w:hAnsi="Times New Roman" w:cs="Times New Roman"/>
                <w:color w:val="000000"/>
                <w:sz w:val="20"/>
                <w:szCs w:val="20"/>
              </w:rPr>
            </w:pPr>
            <w:r>
              <w:rPr>
                <w:rFonts w:ascii="Times New Roman" w:hAnsi="Times New Roman" w:cs="Times New Roman"/>
                <w:sz w:val="20"/>
                <w:szCs w:val="20"/>
              </w:rPr>
              <w:t>Infinitely many sign-changing solutions for Kirchhoff type problems in R^3</w:t>
            </w:r>
          </w:p>
        </w:tc>
        <w:tc>
          <w:tcPr>
            <w:tcW w:w="1044" w:type="pct"/>
            <w:vAlign w:val="center"/>
          </w:tcPr>
          <w:p w14:paraId="7016389B" w14:textId="77777777" w:rsidR="0063609A" w:rsidRDefault="00000000">
            <w:pPr>
              <w:jc w:val="center"/>
              <w:rPr>
                <w:rFonts w:ascii="Times New Roman" w:eastAsia="宋体" w:hAnsi="Times New Roman" w:cs="Times New Roman"/>
                <w:color w:val="000000"/>
                <w:sz w:val="20"/>
                <w:szCs w:val="20"/>
              </w:rPr>
            </w:pPr>
            <w:r>
              <w:rPr>
                <w:rFonts w:ascii="Times New Roman" w:hAnsi="Times New Roman" w:cs="Times New Roman"/>
                <w:sz w:val="20"/>
                <w:szCs w:val="20"/>
              </w:rPr>
              <w:t>Nonlinear Analysis</w:t>
            </w:r>
          </w:p>
        </w:tc>
        <w:tc>
          <w:tcPr>
            <w:tcW w:w="671" w:type="pct"/>
            <w:vAlign w:val="center"/>
          </w:tcPr>
          <w:p w14:paraId="55F43198" w14:textId="77777777" w:rsidR="0063609A" w:rsidRDefault="00000000">
            <w:pPr>
              <w:jc w:val="center"/>
              <w:rPr>
                <w:rFonts w:ascii="Times New Roman" w:hAnsi="Times New Roman" w:cs="Times New Roman"/>
                <w:color w:val="000000"/>
                <w:sz w:val="20"/>
                <w:szCs w:val="20"/>
              </w:rPr>
            </w:pPr>
            <w:r>
              <w:rPr>
                <w:rFonts w:ascii="Times New Roman" w:hAnsi="Times New Roman" w:cs="Times New Roman"/>
                <w:sz w:val="20"/>
                <w:szCs w:val="20"/>
              </w:rPr>
              <w:t>2019, 186, 33-54</w:t>
            </w:r>
          </w:p>
        </w:tc>
        <w:tc>
          <w:tcPr>
            <w:tcW w:w="408" w:type="pct"/>
            <w:vAlign w:val="center"/>
          </w:tcPr>
          <w:p w14:paraId="006004EC" w14:textId="77777777" w:rsidR="0063609A" w:rsidRDefault="00000000">
            <w:pPr>
              <w:jc w:val="center"/>
              <w:rPr>
                <w:rFonts w:ascii="Times New Roman" w:eastAsia="宋体" w:hAnsi="Times New Roman" w:cs="Times New Roman"/>
                <w:color w:val="000000"/>
                <w:sz w:val="20"/>
                <w:szCs w:val="20"/>
              </w:rPr>
            </w:pPr>
            <w:r>
              <w:rPr>
                <w:rFonts w:ascii="Times New Roman" w:hAnsi="Times New Roman" w:cs="Times New Roman"/>
                <w:sz w:val="20"/>
                <w:szCs w:val="20"/>
              </w:rPr>
              <w:t>2019-09</w:t>
            </w:r>
          </w:p>
        </w:tc>
        <w:tc>
          <w:tcPr>
            <w:tcW w:w="551" w:type="pct"/>
            <w:vAlign w:val="center"/>
          </w:tcPr>
          <w:p w14:paraId="2AA2336A" w14:textId="77777777" w:rsidR="0063609A" w:rsidRDefault="00000000">
            <w:pPr>
              <w:jc w:val="center"/>
              <w:rPr>
                <w:rFonts w:ascii="Times New Roman" w:eastAsia="宋体" w:hAnsi="Times New Roman" w:cs="Times New Roman"/>
                <w:color w:val="000000"/>
                <w:sz w:val="20"/>
                <w:szCs w:val="20"/>
              </w:rPr>
            </w:pPr>
            <w:proofErr w:type="spellStart"/>
            <w:r>
              <w:rPr>
                <w:rFonts w:ascii="Times New Roman" w:hAnsi="Times New Roman" w:cs="Times New Roman"/>
                <w:sz w:val="20"/>
                <w:szCs w:val="20"/>
              </w:rPr>
              <w:t>Jijiang</w:t>
            </w:r>
            <w:proofErr w:type="spellEnd"/>
            <w:r>
              <w:rPr>
                <w:rFonts w:ascii="Times New Roman" w:hAnsi="Times New Roman" w:cs="Times New Roman"/>
                <w:sz w:val="20"/>
                <w:szCs w:val="20"/>
              </w:rPr>
              <w:t xml:space="preserve"> Sun</w:t>
            </w:r>
          </w:p>
        </w:tc>
        <w:tc>
          <w:tcPr>
            <w:tcW w:w="548" w:type="pct"/>
            <w:vAlign w:val="center"/>
          </w:tcPr>
          <w:p w14:paraId="7A5BEA31" w14:textId="77777777" w:rsidR="0063609A" w:rsidRDefault="00000000">
            <w:pPr>
              <w:jc w:val="center"/>
              <w:rPr>
                <w:rFonts w:ascii="Times New Roman" w:eastAsia="宋体" w:hAnsi="Times New Roman" w:cs="Times New Roman"/>
                <w:color w:val="000000"/>
                <w:sz w:val="20"/>
                <w:szCs w:val="20"/>
              </w:rPr>
            </w:pPr>
            <w:r>
              <w:rPr>
                <w:rFonts w:ascii="Times New Roman" w:hAnsi="Times New Roman" w:cs="Times New Roman"/>
                <w:sz w:val="20"/>
                <w:szCs w:val="20"/>
              </w:rPr>
              <w:t>Lin Li</w:t>
            </w:r>
          </w:p>
        </w:tc>
      </w:tr>
    </w:tbl>
    <w:p w14:paraId="2DA6A13C" w14:textId="77777777" w:rsidR="0063609A" w:rsidRDefault="0063609A">
      <w:pPr>
        <w:spacing w:line="560" w:lineRule="exact"/>
        <w:rPr>
          <w:rFonts w:ascii="仿宋_GB2312" w:eastAsia="仿宋_GB2312" w:hAnsi="宋体" w:hint="eastAsia"/>
          <w:b/>
          <w:bCs/>
          <w:sz w:val="32"/>
          <w:szCs w:val="32"/>
        </w:rPr>
      </w:pPr>
    </w:p>
    <w:p w14:paraId="39823049" w14:textId="77777777" w:rsidR="0063609A" w:rsidRDefault="0063609A">
      <w:pPr>
        <w:spacing w:line="560" w:lineRule="exact"/>
        <w:rPr>
          <w:rFonts w:ascii="仿宋_GB2312" w:eastAsia="仿宋_GB2312" w:hAnsi="宋体" w:hint="eastAsia"/>
          <w:sz w:val="32"/>
          <w:szCs w:val="32"/>
        </w:rPr>
      </w:pPr>
    </w:p>
    <w:sectPr w:rsidR="0063609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ED7B8" w14:textId="77777777" w:rsidR="00B5697F" w:rsidRDefault="00B5697F">
      <w:pPr>
        <w:rPr>
          <w:rFonts w:hint="eastAsia"/>
        </w:rPr>
      </w:pPr>
      <w:r>
        <w:separator/>
      </w:r>
    </w:p>
  </w:endnote>
  <w:endnote w:type="continuationSeparator" w:id="0">
    <w:p w14:paraId="6F27A224" w14:textId="77777777" w:rsidR="00B5697F" w:rsidRDefault="00B5697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38F10F97" w14:textId="77777777" w:rsidR="0063609A"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63609A" w:rsidRDefault="0063609A">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BE5E4" w14:textId="77777777" w:rsidR="00B5697F" w:rsidRDefault="00B5697F">
      <w:pPr>
        <w:rPr>
          <w:rFonts w:hint="eastAsia"/>
        </w:rPr>
      </w:pPr>
      <w:r>
        <w:separator/>
      </w:r>
    </w:p>
  </w:footnote>
  <w:footnote w:type="continuationSeparator" w:id="0">
    <w:p w14:paraId="1F253545" w14:textId="77777777" w:rsidR="00B5697F" w:rsidRDefault="00B5697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00D01"/>
    <w:multiLevelType w:val="singleLevel"/>
    <w:tmpl w:val="31600D01"/>
    <w:lvl w:ilvl="0">
      <w:start w:val="1"/>
      <w:numFmt w:val="chineseCounting"/>
      <w:suff w:val="nothing"/>
      <w:lvlText w:val="%1、"/>
      <w:lvlJc w:val="left"/>
      <w:rPr>
        <w:rFonts w:hint="eastAsia"/>
      </w:rPr>
    </w:lvl>
  </w:abstractNum>
  <w:num w:numId="1" w16cid:durableId="977222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84997"/>
    <w:rsid w:val="000E1197"/>
    <w:rsid w:val="00194E22"/>
    <w:rsid w:val="002763E6"/>
    <w:rsid w:val="002F0F5D"/>
    <w:rsid w:val="004532AC"/>
    <w:rsid w:val="004F096D"/>
    <w:rsid w:val="00522627"/>
    <w:rsid w:val="00577CF9"/>
    <w:rsid w:val="005B724F"/>
    <w:rsid w:val="0063609A"/>
    <w:rsid w:val="006515EA"/>
    <w:rsid w:val="006A2F7D"/>
    <w:rsid w:val="007609CD"/>
    <w:rsid w:val="007B4AAF"/>
    <w:rsid w:val="00874336"/>
    <w:rsid w:val="0087531C"/>
    <w:rsid w:val="00927936"/>
    <w:rsid w:val="00A2254C"/>
    <w:rsid w:val="00B131C6"/>
    <w:rsid w:val="00B5697F"/>
    <w:rsid w:val="00CE5ADA"/>
    <w:rsid w:val="00DD6C3E"/>
    <w:rsid w:val="00E33923"/>
    <w:rsid w:val="00E6492D"/>
    <w:rsid w:val="00EE79B5"/>
    <w:rsid w:val="01F571E8"/>
    <w:rsid w:val="02E334E5"/>
    <w:rsid w:val="0B0D3FDC"/>
    <w:rsid w:val="0E1F4392"/>
    <w:rsid w:val="104452F2"/>
    <w:rsid w:val="13431A4F"/>
    <w:rsid w:val="19610CC3"/>
    <w:rsid w:val="1C183F52"/>
    <w:rsid w:val="1CA41B36"/>
    <w:rsid w:val="1F121C14"/>
    <w:rsid w:val="279A0BD0"/>
    <w:rsid w:val="32513718"/>
    <w:rsid w:val="32537490"/>
    <w:rsid w:val="36912C1B"/>
    <w:rsid w:val="37117919"/>
    <w:rsid w:val="375B08D5"/>
    <w:rsid w:val="38082ACA"/>
    <w:rsid w:val="381652B1"/>
    <w:rsid w:val="3EBF3497"/>
    <w:rsid w:val="42DC7C7D"/>
    <w:rsid w:val="443924E4"/>
    <w:rsid w:val="44E23928"/>
    <w:rsid w:val="4524602D"/>
    <w:rsid w:val="45C9337D"/>
    <w:rsid w:val="46431172"/>
    <w:rsid w:val="4A5B3DB4"/>
    <w:rsid w:val="56DB3EA8"/>
    <w:rsid w:val="59570D64"/>
    <w:rsid w:val="5C1631F6"/>
    <w:rsid w:val="5F3C2ED6"/>
    <w:rsid w:val="62304E75"/>
    <w:rsid w:val="62B37719"/>
    <w:rsid w:val="63974B7F"/>
    <w:rsid w:val="64CF5498"/>
    <w:rsid w:val="699F6187"/>
    <w:rsid w:val="725F0F5E"/>
    <w:rsid w:val="73C44343"/>
    <w:rsid w:val="79114A8F"/>
    <w:rsid w:val="7BBC2F7D"/>
    <w:rsid w:val="7E320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CDC47"/>
  <w15:docId w15:val="{DB30A9CB-C47D-4A03-B443-F4DD68A3F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13</cp:revision>
  <dcterms:created xsi:type="dcterms:W3CDTF">2024-11-26T08:37:00Z</dcterms:created>
  <dcterms:modified xsi:type="dcterms:W3CDTF">2024-12-13T09:05:00Z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FFF72A72E55340C08E90A17BA94C1383_12</vt:lpwstr>
  </property>
</Properties>
</file>