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74B07" w14:textId="77777777" w:rsidR="000E78E9"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一、候选人基本情况</w:t>
      </w:r>
    </w:p>
    <w:p w14:paraId="758B6FD1" w14:textId="77777777" w:rsidR="000E78E9" w:rsidRDefault="00000000">
      <w:pPr>
        <w:spacing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袁凯，南昌大学教授，博士生导师，国家高层次人才特殊支持计划青年拔尖人才，</w:t>
      </w:r>
      <w:bookmarkStart w:id="0" w:name="_Hlk145849883"/>
      <w:r>
        <w:rPr>
          <w:rFonts w:ascii="仿宋_GB2312" w:eastAsia="仿宋_GB2312" w:hAnsi="宋体" w:hint="eastAsia"/>
          <w:sz w:val="32"/>
          <w:szCs w:val="32"/>
        </w:rPr>
        <w:t>南昌大学和德国伍珀塔尔大学双博士学位，主要从事电化学能源转换与存储材料及器件集成方面的研究，以第一或通讯作者在N</w:t>
      </w:r>
      <w:r>
        <w:rPr>
          <w:rFonts w:ascii="仿宋_GB2312" w:eastAsia="仿宋_GB2312" w:hAnsi="宋体"/>
          <w:sz w:val="32"/>
          <w:szCs w:val="32"/>
        </w:rPr>
        <w:t>at. Commun., J. Am. Chem. Soc.</w:t>
      </w:r>
      <w:r>
        <w:rPr>
          <w:rFonts w:ascii="仿宋_GB2312" w:eastAsia="仿宋_GB2312" w:hAnsi="宋体" w:hint="eastAsia"/>
          <w:sz w:val="32"/>
          <w:szCs w:val="32"/>
        </w:rPr>
        <w:t>,</w:t>
      </w:r>
      <w:r>
        <w:rPr>
          <w:rFonts w:ascii="仿宋_GB2312" w:eastAsia="仿宋_GB2312" w:hAnsi="宋体"/>
          <w:sz w:val="32"/>
          <w:szCs w:val="32"/>
        </w:rPr>
        <w:t xml:space="preserve"> </w:t>
      </w:r>
      <w:proofErr w:type="spellStart"/>
      <w:r>
        <w:rPr>
          <w:rFonts w:ascii="仿宋_GB2312" w:eastAsia="仿宋_GB2312" w:hAnsi="宋体"/>
          <w:sz w:val="32"/>
          <w:szCs w:val="32"/>
        </w:rPr>
        <w:t>Angew</w:t>
      </w:r>
      <w:proofErr w:type="spellEnd"/>
      <w:r>
        <w:rPr>
          <w:rFonts w:ascii="仿宋_GB2312" w:eastAsia="仿宋_GB2312" w:hAnsi="宋体"/>
          <w:sz w:val="32"/>
          <w:szCs w:val="32"/>
        </w:rPr>
        <w:t>. Chem. Int. Ed</w:t>
      </w:r>
      <w:r>
        <w:rPr>
          <w:rFonts w:ascii="仿宋_GB2312" w:eastAsia="仿宋_GB2312" w:hAnsi="宋体" w:hint="eastAsia"/>
          <w:sz w:val="32"/>
          <w:szCs w:val="32"/>
        </w:rPr>
        <w:t>.</w:t>
      </w:r>
      <w:r>
        <w:rPr>
          <w:rFonts w:ascii="仿宋_GB2312" w:eastAsia="仿宋_GB2312" w:hAnsi="宋体"/>
          <w:sz w:val="32"/>
          <w:szCs w:val="32"/>
        </w:rPr>
        <w:t>, Adv. Mater.</w:t>
      </w:r>
      <w:r>
        <w:rPr>
          <w:rFonts w:ascii="仿宋_GB2312" w:eastAsia="仿宋_GB2312" w:hAnsi="宋体" w:hint="eastAsia"/>
          <w:sz w:val="32"/>
          <w:szCs w:val="32"/>
        </w:rPr>
        <w:t>等期刊发表学术论文</w:t>
      </w:r>
      <w:r>
        <w:rPr>
          <w:rFonts w:ascii="仿宋_GB2312" w:eastAsia="仿宋_GB2312" w:hAnsi="宋体"/>
          <w:sz w:val="32"/>
          <w:szCs w:val="32"/>
        </w:rPr>
        <w:t>80</w:t>
      </w:r>
      <w:r>
        <w:rPr>
          <w:rFonts w:ascii="仿宋_GB2312" w:eastAsia="仿宋_GB2312" w:hAnsi="宋体" w:hint="eastAsia"/>
          <w:sz w:val="32"/>
          <w:szCs w:val="32"/>
        </w:rPr>
        <w:t>余篇，一篇论文入选2</w:t>
      </w:r>
      <w:r>
        <w:rPr>
          <w:rFonts w:ascii="仿宋_GB2312" w:eastAsia="仿宋_GB2312" w:hAnsi="宋体"/>
          <w:sz w:val="32"/>
          <w:szCs w:val="32"/>
        </w:rPr>
        <w:t>020</w:t>
      </w:r>
      <w:r>
        <w:rPr>
          <w:rFonts w:ascii="仿宋_GB2312" w:eastAsia="仿宋_GB2312" w:hAnsi="宋体" w:hint="eastAsia"/>
          <w:sz w:val="32"/>
          <w:szCs w:val="32"/>
        </w:rPr>
        <w:t>年度中国百篇最具影响国际学术论文；</w:t>
      </w:r>
      <w:r>
        <w:rPr>
          <w:rFonts w:ascii="仿宋_GB2312" w:eastAsia="仿宋_GB2312" w:hAnsi="宋体"/>
          <w:sz w:val="32"/>
          <w:szCs w:val="32"/>
        </w:rPr>
        <w:t>主编教材</w:t>
      </w:r>
      <w:r>
        <w:rPr>
          <w:rFonts w:ascii="仿宋_GB2312" w:eastAsia="仿宋_GB2312" w:hAnsi="宋体" w:hint="eastAsia"/>
          <w:sz w:val="32"/>
          <w:szCs w:val="32"/>
        </w:rPr>
        <w:t>一</w:t>
      </w:r>
      <w:r>
        <w:rPr>
          <w:rFonts w:ascii="仿宋_GB2312" w:eastAsia="仿宋_GB2312" w:hAnsi="宋体"/>
          <w:sz w:val="32"/>
          <w:szCs w:val="32"/>
        </w:rPr>
        <w:t>部，撰写英文书籍一章</w:t>
      </w:r>
      <w:r>
        <w:rPr>
          <w:rFonts w:ascii="仿宋_GB2312" w:eastAsia="仿宋_GB2312" w:hAnsi="宋体" w:hint="eastAsia"/>
          <w:sz w:val="32"/>
          <w:szCs w:val="32"/>
        </w:rPr>
        <w:t>；主持国家自然科学基金面上项目等</w:t>
      </w:r>
      <w:r>
        <w:rPr>
          <w:rFonts w:ascii="仿宋_GB2312" w:eastAsia="仿宋_GB2312" w:hAnsi="宋体"/>
          <w:sz w:val="32"/>
          <w:szCs w:val="32"/>
        </w:rPr>
        <w:t>4</w:t>
      </w:r>
      <w:r>
        <w:rPr>
          <w:rFonts w:ascii="仿宋_GB2312" w:eastAsia="仿宋_GB2312" w:hAnsi="宋体" w:hint="eastAsia"/>
          <w:sz w:val="32"/>
          <w:szCs w:val="32"/>
        </w:rPr>
        <w:t>项、江西省杰出青年科学基金，获博士后创新人才支持计划</w:t>
      </w:r>
      <w:bookmarkStart w:id="1" w:name="OLE_LINK20"/>
      <w:r>
        <w:rPr>
          <w:rFonts w:ascii="仿宋_GB2312" w:eastAsia="仿宋_GB2312" w:hAnsi="宋体" w:hint="eastAsia"/>
          <w:sz w:val="32"/>
          <w:szCs w:val="32"/>
        </w:rPr>
        <w:t>、</w:t>
      </w:r>
      <w:proofErr w:type="gramStart"/>
      <w:r>
        <w:rPr>
          <w:rFonts w:ascii="仿宋_GB2312" w:eastAsia="仿宋_GB2312" w:hAnsi="宋体" w:hint="eastAsia"/>
          <w:sz w:val="32"/>
          <w:szCs w:val="32"/>
        </w:rPr>
        <w:t>江西省“</w:t>
      </w:r>
      <w:proofErr w:type="gramEnd"/>
      <w:r>
        <w:rPr>
          <w:rFonts w:ascii="仿宋_GB2312" w:eastAsia="仿宋_GB2312" w:hAnsi="宋体" w:hint="eastAsia"/>
          <w:sz w:val="32"/>
          <w:szCs w:val="32"/>
        </w:rPr>
        <w:t>双千计划”</w:t>
      </w:r>
      <w:bookmarkEnd w:id="1"/>
      <w:r>
        <w:rPr>
          <w:rFonts w:ascii="仿宋_GB2312" w:eastAsia="仿宋_GB2312" w:hAnsi="宋体" w:hint="eastAsia"/>
          <w:sz w:val="32"/>
          <w:szCs w:val="32"/>
        </w:rPr>
        <w:t>；获教育部自然科学二等奖、省级教学成果二等奖。</w:t>
      </w:r>
      <w:bookmarkEnd w:id="0"/>
    </w:p>
    <w:p w14:paraId="750C57A6" w14:textId="77777777" w:rsidR="000E78E9" w:rsidRDefault="000E78E9">
      <w:pPr>
        <w:spacing w:line="560" w:lineRule="exact"/>
        <w:rPr>
          <w:rFonts w:ascii="仿宋_GB2312" w:eastAsia="仿宋_GB2312" w:hAnsi="宋体" w:hint="eastAsia"/>
          <w:b/>
          <w:bCs/>
          <w:sz w:val="32"/>
          <w:szCs w:val="32"/>
        </w:rPr>
      </w:pPr>
    </w:p>
    <w:p w14:paraId="63D6F99B" w14:textId="77777777" w:rsidR="000E78E9"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二、提名单位</w:t>
      </w:r>
    </w:p>
    <w:p w14:paraId="34F70F57" w14:textId="77777777" w:rsidR="000E78E9" w:rsidRDefault="00000000">
      <w:pPr>
        <w:spacing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江西省教育厅</w:t>
      </w:r>
    </w:p>
    <w:p w14:paraId="5F3AAE20" w14:textId="77777777" w:rsidR="000E78E9" w:rsidRDefault="000E78E9">
      <w:pPr>
        <w:spacing w:line="560" w:lineRule="exact"/>
        <w:rPr>
          <w:rFonts w:ascii="仿宋_GB2312" w:eastAsia="仿宋_GB2312" w:hAnsi="宋体" w:hint="eastAsia"/>
          <w:sz w:val="32"/>
          <w:szCs w:val="32"/>
        </w:rPr>
      </w:pPr>
    </w:p>
    <w:p w14:paraId="645F34FE" w14:textId="77777777" w:rsidR="000E78E9"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三、提名意见</w:t>
      </w:r>
    </w:p>
    <w:p w14:paraId="04D12773" w14:textId="70D51254" w:rsidR="000E78E9" w:rsidRDefault="003F4C0C">
      <w:pPr>
        <w:spacing w:before="60" w:line="560" w:lineRule="exact"/>
        <w:ind w:firstLineChars="200" w:firstLine="600"/>
        <w:rPr>
          <w:rFonts w:ascii="Times New Roman" w:eastAsia="仿宋_GB2312" w:hAnsi="Times New Roman"/>
          <w:sz w:val="30"/>
          <w:szCs w:val="30"/>
        </w:rPr>
      </w:pPr>
      <w:r>
        <w:rPr>
          <w:rFonts w:ascii="Times New Roman" w:eastAsia="仿宋_GB2312" w:hAnsi="Times New Roman" w:hint="eastAsia"/>
          <w:sz w:val="30"/>
          <w:szCs w:val="30"/>
        </w:rPr>
        <w:t>候选人</w:t>
      </w:r>
      <w:r w:rsidR="00000000">
        <w:rPr>
          <w:rFonts w:ascii="Times New Roman" w:eastAsia="仿宋_GB2312" w:hAnsi="Times New Roman" w:hint="eastAsia"/>
          <w:sz w:val="30"/>
          <w:szCs w:val="30"/>
        </w:rPr>
        <w:t>针对超级电容器</w:t>
      </w:r>
      <w:proofErr w:type="gramStart"/>
      <w:r w:rsidR="00000000">
        <w:rPr>
          <w:rFonts w:ascii="Times New Roman" w:eastAsia="仿宋_GB2312" w:hAnsi="Times New Roman" w:hint="eastAsia"/>
          <w:sz w:val="30"/>
          <w:szCs w:val="30"/>
        </w:rPr>
        <w:t>和锌空电池</w:t>
      </w:r>
      <w:proofErr w:type="gramEnd"/>
      <w:r w:rsidR="00000000">
        <w:rPr>
          <w:rFonts w:ascii="Times New Roman" w:eastAsia="仿宋_GB2312" w:hAnsi="Times New Roman" w:hint="eastAsia"/>
          <w:sz w:val="30"/>
          <w:szCs w:val="30"/>
        </w:rPr>
        <w:t>等电化学储能器件</w:t>
      </w:r>
      <w:r w:rsidR="00000000">
        <w:rPr>
          <w:rFonts w:ascii="Times New Roman" w:eastAsia="仿宋_GB2312" w:hAnsi="Times New Roman" w:hint="eastAsia"/>
          <w:sz w:val="30"/>
          <w:szCs w:val="30"/>
          <w:shd w:val="clear" w:color="auto" w:fill="FFFFFF"/>
        </w:rPr>
        <w:t>电极热力学与动力学的不匹配，器件能量密度与功率密度低等关键科学问题，提出</w:t>
      </w:r>
      <w:r w:rsidR="00000000">
        <w:rPr>
          <w:rFonts w:ascii="Times New Roman" w:eastAsia="仿宋_GB2312" w:hAnsi="Times New Roman"/>
          <w:sz w:val="30"/>
          <w:szCs w:val="30"/>
        </w:rPr>
        <w:t>1</w:t>
      </w:r>
      <w:r w:rsidR="00000000">
        <w:rPr>
          <w:rFonts w:ascii="Times New Roman" w:eastAsia="仿宋_GB2312" w:hAnsi="Times New Roman" w:hint="eastAsia"/>
          <w:sz w:val="30"/>
          <w:szCs w:val="30"/>
        </w:rPr>
        <w:t>.</w:t>
      </w:r>
      <w:r w:rsidR="00000000">
        <w:rPr>
          <w:rFonts w:ascii="Times New Roman" w:eastAsia="仿宋_GB2312" w:hAnsi="Times New Roman"/>
          <w:sz w:val="30"/>
          <w:szCs w:val="30"/>
        </w:rPr>
        <w:t xml:space="preserve"> </w:t>
      </w:r>
      <w:r w:rsidR="00000000">
        <w:rPr>
          <w:rFonts w:ascii="Times New Roman" w:eastAsia="仿宋_GB2312" w:hAnsi="Times New Roman" w:hint="eastAsia"/>
          <w:sz w:val="30"/>
          <w:szCs w:val="30"/>
        </w:rPr>
        <w:t>原子尺度电极活性位点微环境调控，实现电极材料高密度、高本征活性位点的利用率最大化，提高能量</w:t>
      </w:r>
      <w:r w:rsidR="00000000">
        <w:rPr>
          <w:rFonts w:ascii="Times New Roman" w:eastAsia="仿宋_GB2312" w:hAnsi="Times New Roman"/>
          <w:sz w:val="30"/>
          <w:szCs w:val="30"/>
        </w:rPr>
        <w:t>/</w:t>
      </w:r>
      <w:r w:rsidR="00000000">
        <w:rPr>
          <w:rFonts w:ascii="Times New Roman" w:eastAsia="仿宋_GB2312" w:hAnsi="Times New Roman" w:hint="eastAsia"/>
          <w:sz w:val="30"/>
          <w:szCs w:val="30"/>
        </w:rPr>
        <w:t>功率密度；</w:t>
      </w:r>
      <w:r w:rsidR="00000000">
        <w:rPr>
          <w:rFonts w:ascii="Times New Roman" w:eastAsia="仿宋_GB2312" w:hAnsi="Times New Roman"/>
          <w:sz w:val="30"/>
          <w:szCs w:val="30"/>
        </w:rPr>
        <w:t>2.</w:t>
      </w:r>
      <w:r w:rsidR="00000000">
        <w:rPr>
          <w:rFonts w:ascii="Times New Roman" w:eastAsia="仿宋_GB2312" w:hAnsi="Times New Roman" w:hint="eastAsia"/>
          <w:sz w:val="30"/>
          <w:szCs w:val="30"/>
        </w:rPr>
        <w:t xml:space="preserve"> </w:t>
      </w:r>
      <w:proofErr w:type="gramStart"/>
      <w:r w:rsidR="00000000">
        <w:rPr>
          <w:rFonts w:ascii="Times New Roman" w:eastAsia="仿宋_GB2312" w:hAnsi="Times New Roman" w:hint="eastAsia"/>
          <w:sz w:val="30"/>
          <w:szCs w:val="30"/>
        </w:rPr>
        <w:t>介</w:t>
      </w:r>
      <w:proofErr w:type="gramEnd"/>
      <w:r w:rsidR="00000000">
        <w:rPr>
          <w:rFonts w:ascii="Times New Roman" w:eastAsia="仿宋_GB2312" w:hAnsi="Times New Roman" w:hint="eastAsia"/>
          <w:sz w:val="30"/>
          <w:szCs w:val="30"/>
        </w:rPr>
        <w:t>观尺度电极微环境调控，提高热力学稳定性，消除</w:t>
      </w:r>
      <w:proofErr w:type="gramStart"/>
      <w:r w:rsidR="00000000">
        <w:rPr>
          <w:rFonts w:ascii="Times New Roman" w:eastAsia="仿宋_GB2312" w:hAnsi="Times New Roman" w:hint="eastAsia"/>
          <w:sz w:val="30"/>
          <w:szCs w:val="30"/>
        </w:rPr>
        <w:t>微孔限域效应</w:t>
      </w:r>
      <w:proofErr w:type="gramEnd"/>
      <w:r w:rsidR="00000000">
        <w:rPr>
          <w:rFonts w:ascii="Times New Roman" w:eastAsia="仿宋_GB2312" w:hAnsi="Times New Roman" w:hint="eastAsia"/>
          <w:sz w:val="30"/>
          <w:szCs w:val="30"/>
        </w:rPr>
        <w:t>，构建高效电化学电路，解决电荷</w:t>
      </w:r>
      <w:r w:rsidR="00000000">
        <w:rPr>
          <w:rFonts w:ascii="Times New Roman" w:eastAsia="仿宋_GB2312" w:hAnsi="Times New Roman"/>
          <w:sz w:val="30"/>
          <w:szCs w:val="30"/>
        </w:rPr>
        <w:t>/</w:t>
      </w:r>
      <w:r w:rsidR="00000000">
        <w:rPr>
          <w:rFonts w:ascii="Times New Roman" w:eastAsia="仿宋_GB2312" w:hAnsi="Times New Roman" w:hint="eastAsia"/>
          <w:sz w:val="30"/>
          <w:szCs w:val="30"/>
        </w:rPr>
        <w:t>离子传输动力学受限难题；</w:t>
      </w:r>
      <w:r w:rsidR="00000000">
        <w:rPr>
          <w:rFonts w:ascii="Times New Roman" w:eastAsia="仿宋_GB2312" w:hAnsi="Times New Roman"/>
          <w:sz w:val="30"/>
          <w:szCs w:val="30"/>
        </w:rPr>
        <w:t xml:space="preserve">3. </w:t>
      </w:r>
      <w:r w:rsidR="00000000">
        <w:rPr>
          <w:rFonts w:ascii="Times New Roman" w:eastAsia="仿宋_GB2312" w:hAnsi="Times New Roman" w:hint="eastAsia"/>
          <w:sz w:val="30"/>
          <w:szCs w:val="30"/>
        </w:rPr>
        <w:t>器件层面电极</w:t>
      </w:r>
      <w:r w:rsidR="00000000">
        <w:rPr>
          <w:rFonts w:ascii="Times New Roman" w:eastAsia="仿宋_GB2312" w:hAnsi="Times New Roman" w:hint="eastAsia"/>
          <w:sz w:val="30"/>
          <w:szCs w:val="30"/>
        </w:rPr>
        <w:t>/</w:t>
      </w:r>
      <w:r w:rsidR="00000000">
        <w:rPr>
          <w:rFonts w:ascii="Times New Roman" w:eastAsia="仿宋_GB2312" w:hAnsi="Times New Roman" w:hint="eastAsia"/>
          <w:sz w:val="30"/>
          <w:szCs w:val="30"/>
        </w:rPr>
        <w:t>电解液界面微环境调控，优化热力学与动力学匹配性，系统解决水系储能器件电压窗口窄的科学难题，</w:t>
      </w:r>
      <w:r w:rsidR="00000000">
        <w:rPr>
          <w:rFonts w:ascii="Times New Roman" w:eastAsia="仿宋_GB2312" w:hAnsi="Times New Roman" w:hint="eastAsia"/>
          <w:sz w:val="30"/>
          <w:szCs w:val="30"/>
        </w:rPr>
        <w:lastRenderedPageBreak/>
        <w:t>实现成果转化。研究成果发表在</w:t>
      </w:r>
      <w:r w:rsidR="00000000">
        <w:rPr>
          <w:rFonts w:ascii="Times New Roman" w:eastAsia="仿宋_GB2312" w:hAnsi="Times New Roman"/>
          <w:i/>
          <w:iCs/>
          <w:sz w:val="30"/>
          <w:szCs w:val="30"/>
        </w:rPr>
        <w:t>J. Am. Chem. Soc.</w:t>
      </w:r>
      <w:r w:rsidR="00000000">
        <w:rPr>
          <w:rFonts w:ascii="Times New Roman" w:eastAsia="仿宋_GB2312" w:hAnsi="Times New Roman"/>
          <w:sz w:val="30"/>
          <w:szCs w:val="30"/>
        </w:rPr>
        <w:t xml:space="preserve">, </w:t>
      </w:r>
      <w:proofErr w:type="spellStart"/>
      <w:r w:rsidR="00000000">
        <w:rPr>
          <w:rFonts w:ascii="Times New Roman" w:eastAsia="仿宋_GB2312" w:hAnsi="Times New Roman"/>
          <w:i/>
          <w:iCs/>
          <w:sz w:val="30"/>
          <w:szCs w:val="30"/>
        </w:rPr>
        <w:t>Angew</w:t>
      </w:r>
      <w:proofErr w:type="spellEnd"/>
      <w:r w:rsidR="00000000">
        <w:rPr>
          <w:rFonts w:ascii="Times New Roman" w:eastAsia="仿宋_GB2312" w:hAnsi="Times New Roman"/>
          <w:i/>
          <w:iCs/>
          <w:sz w:val="30"/>
          <w:szCs w:val="30"/>
        </w:rPr>
        <w:t>. Chem. Int. Ed.</w:t>
      </w:r>
      <w:r w:rsidR="00000000">
        <w:rPr>
          <w:rFonts w:ascii="Times New Roman" w:eastAsia="仿宋_GB2312" w:hAnsi="Times New Roman"/>
          <w:sz w:val="30"/>
          <w:szCs w:val="30"/>
        </w:rPr>
        <w:t xml:space="preserve">, </w:t>
      </w:r>
      <w:r w:rsidR="00000000">
        <w:rPr>
          <w:rFonts w:ascii="Times New Roman" w:eastAsia="仿宋_GB2312" w:hAnsi="Times New Roman"/>
          <w:i/>
          <w:iCs/>
          <w:sz w:val="30"/>
          <w:szCs w:val="30"/>
        </w:rPr>
        <w:t>Adv. Mater.</w:t>
      </w:r>
      <w:r w:rsidR="00000000">
        <w:rPr>
          <w:rFonts w:ascii="Times New Roman" w:eastAsia="仿宋_GB2312" w:hAnsi="Times New Roman" w:hint="eastAsia"/>
          <w:sz w:val="30"/>
          <w:szCs w:val="30"/>
        </w:rPr>
        <w:t>等，入选</w:t>
      </w:r>
      <w:r w:rsidR="00000000">
        <w:rPr>
          <w:rFonts w:ascii="Times New Roman" w:eastAsia="仿宋_GB2312" w:hAnsi="Times New Roman" w:hint="eastAsia"/>
          <w:sz w:val="30"/>
          <w:szCs w:val="30"/>
        </w:rPr>
        <w:t>2</w:t>
      </w:r>
      <w:r w:rsidR="00000000">
        <w:rPr>
          <w:rFonts w:ascii="Times New Roman" w:eastAsia="仿宋_GB2312" w:hAnsi="Times New Roman"/>
          <w:sz w:val="30"/>
          <w:szCs w:val="30"/>
        </w:rPr>
        <w:t>020</w:t>
      </w:r>
      <w:r w:rsidR="00000000">
        <w:rPr>
          <w:rFonts w:ascii="Times New Roman" w:eastAsia="仿宋_GB2312" w:hAnsi="Times New Roman" w:hint="eastAsia"/>
          <w:sz w:val="30"/>
          <w:szCs w:val="30"/>
        </w:rPr>
        <w:t>年度中国百篇最具影响国际学术论文，相关技术获授权发明专利</w:t>
      </w:r>
      <w:r w:rsidR="00000000">
        <w:rPr>
          <w:rFonts w:ascii="Times New Roman" w:eastAsia="仿宋_GB2312" w:hAnsi="Times New Roman"/>
          <w:sz w:val="30"/>
          <w:szCs w:val="30"/>
        </w:rPr>
        <w:t>5</w:t>
      </w:r>
      <w:r w:rsidR="00000000">
        <w:rPr>
          <w:rFonts w:ascii="Times New Roman" w:eastAsia="仿宋_GB2312" w:hAnsi="Times New Roman" w:hint="eastAsia"/>
          <w:sz w:val="30"/>
          <w:szCs w:val="30"/>
        </w:rPr>
        <w:t>项。</w:t>
      </w:r>
    </w:p>
    <w:p w14:paraId="3E054BD4" w14:textId="77777777" w:rsidR="000E78E9" w:rsidRDefault="000E78E9">
      <w:pPr>
        <w:spacing w:line="560" w:lineRule="exact"/>
        <w:rPr>
          <w:rFonts w:ascii="仿宋_GB2312" w:eastAsia="仿宋_GB2312" w:hAnsi="宋体" w:hint="eastAsia"/>
          <w:sz w:val="32"/>
          <w:szCs w:val="32"/>
        </w:rPr>
      </w:pPr>
    </w:p>
    <w:p w14:paraId="5975DCF5" w14:textId="77777777" w:rsidR="000E78E9"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四、候选人的主要科学技术成就与贡献</w:t>
      </w:r>
    </w:p>
    <w:p w14:paraId="591DC837" w14:textId="77777777" w:rsidR="000E78E9" w:rsidRDefault="00000000">
      <w:pPr>
        <w:spacing w:line="560" w:lineRule="exact"/>
        <w:ind w:firstLine="480"/>
        <w:rPr>
          <w:rFonts w:ascii="Times New Roman" w:eastAsia="仿宋_GB2312" w:hAnsi="Times New Roman"/>
          <w:color w:val="000000"/>
          <w:sz w:val="30"/>
          <w:szCs w:val="30"/>
          <w:shd w:val="clear" w:color="auto" w:fill="FFFFFF"/>
        </w:rPr>
      </w:pPr>
      <w:r>
        <w:rPr>
          <w:rFonts w:ascii="Times New Roman" w:eastAsia="仿宋_GB2312" w:hAnsi="Times New Roman" w:hint="eastAsia"/>
          <w:bCs/>
          <w:sz w:val="30"/>
          <w:szCs w:val="30"/>
          <w:shd w:val="clear" w:color="auto" w:fill="FFFFFF"/>
        </w:rPr>
        <w:t>精准调控</w:t>
      </w:r>
      <w:r>
        <w:rPr>
          <w:rFonts w:ascii="Times New Roman" w:eastAsia="仿宋_GB2312" w:hAnsi="Times New Roman" w:hint="eastAsia"/>
          <w:bCs/>
          <w:color w:val="000000"/>
          <w:sz w:val="30"/>
          <w:szCs w:val="30"/>
        </w:rPr>
        <w:t>电极物理化学微环境</w:t>
      </w:r>
      <w:r>
        <w:rPr>
          <w:rFonts w:ascii="Times New Roman" w:eastAsia="仿宋_GB2312" w:hAnsi="Times New Roman" w:hint="eastAsia"/>
          <w:bCs/>
          <w:sz w:val="30"/>
          <w:szCs w:val="30"/>
          <w:shd w:val="clear" w:color="auto" w:fill="FFFFFF"/>
        </w:rPr>
        <w:t>协同提升电极的电化学本征活性、活性位点密度与利用率、电荷传输动力学和传质等性能，从而实现正负极热力学与动力学的高匹配性，是提高</w:t>
      </w:r>
      <w:r>
        <w:rPr>
          <w:rFonts w:ascii="Times New Roman" w:eastAsia="仿宋_GB2312" w:hAnsi="Times New Roman" w:hint="eastAsia"/>
          <w:sz w:val="30"/>
          <w:szCs w:val="30"/>
        </w:rPr>
        <w:t>超级电容器</w:t>
      </w:r>
      <w:proofErr w:type="gramStart"/>
      <w:r>
        <w:rPr>
          <w:rFonts w:ascii="Times New Roman" w:eastAsia="仿宋_GB2312" w:hAnsi="Times New Roman" w:hint="eastAsia"/>
          <w:sz w:val="30"/>
          <w:szCs w:val="30"/>
        </w:rPr>
        <w:t>和锌空电池</w:t>
      </w:r>
      <w:proofErr w:type="gramEnd"/>
      <w:r>
        <w:rPr>
          <w:rFonts w:ascii="Times New Roman" w:eastAsia="仿宋_GB2312" w:hAnsi="Times New Roman" w:hint="eastAsia"/>
          <w:sz w:val="30"/>
          <w:szCs w:val="30"/>
        </w:rPr>
        <w:t>等电化学储能</w:t>
      </w:r>
      <w:r>
        <w:rPr>
          <w:rFonts w:ascii="Times New Roman" w:eastAsia="仿宋_GB2312" w:hAnsi="Times New Roman" w:hint="eastAsia"/>
          <w:bCs/>
          <w:sz w:val="30"/>
          <w:szCs w:val="30"/>
        </w:rPr>
        <w:t>器件</w:t>
      </w:r>
      <w:r>
        <w:rPr>
          <w:rFonts w:ascii="Times New Roman" w:eastAsia="仿宋_GB2312" w:hAnsi="Times New Roman" w:hint="eastAsia"/>
          <w:bCs/>
          <w:sz w:val="30"/>
          <w:szCs w:val="30"/>
          <w:shd w:val="clear" w:color="auto" w:fill="FFFFFF"/>
        </w:rPr>
        <w:t>能量密度和功率密度的关键途径，也是该领域亟待解决的关键科学问题</w:t>
      </w:r>
      <w:r>
        <w:rPr>
          <w:rFonts w:ascii="Times New Roman" w:eastAsia="仿宋_GB2312" w:hAnsi="Times New Roman" w:hint="eastAsia"/>
          <w:sz w:val="30"/>
          <w:szCs w:val="30"/>
          <w:shd w:val="clear" w:color="auto" w:fill="FFFFFF"/>
        </w:rPr>
        <w:t>。</w:t>
      </w:r>
      <w:r>
        <w:rPr>
          <w:rFonts w:ascii="Times New Roman" w:eastAsia="仿宋_GB2312" w:hAnsi="Times New Roman" w:hint="eastAsia"/>
          <w:sz w:val="30"/>
          <w:szCs w:val="30"/>
        </w:rPr>
        <w:t>申请人聚焦以上关键科学问题</w:t>
      </w:r>
      <w:r>
        <w:rPr>
          <w:rFonts w:ascii="Times New Roman" w:eastAsia="仿宋_GB2312" w:hAnsi="Times New Roman" w:hint="eastAsia"/>
          <w:sz w:val="30"/>
          <w:szCs w:val="30"/>
          <w:shd w:val="clear" w:color="auto" w:fill="FFFFFF"/>
        </w:rPr>
        <w:t>开展了系统性工作，取得以下创新成果：</w:t>
      </w:r>
    </w:p>
    <w:p w14:paraId="3C5138F7" w14:textId="77777777" w:rsidR="000E78E9" w:rsidRDefault="00000000">
      <w:pPr>
        <w:spacing w:line="560" w:lineRule="exact"/>
        <w:ind w:firstLine="480"/>
        <w:rPr>
          <w:rFonts w:ascii="Times New Roman" w:eastAsia="仿宋_GB2312" w:hAnsi="Times New Roman"/>
          <w:sz w:val="30"/>
          <w:szCs w:val="30"/>
        </w:rPr>
      </w:pPr>
      <w:bookmarkStart w:id="2" w:name="_Hlk127972212"/>
      <w:r>
        <w:rPr>
          <w:rFonts w:ascii="Times New Roman" w:eastAsia="仿宋_GB2312" w:hAnsi="Times New Roman" w:hint="eastAsia"/>
          <w:bCs/>
          <w:sz w:val="30"/>
          <w:szCs w:val="30"/>
        </w:rPr>
        <w:t>（</w:t>
      </w:r>
      <w:r>
        <w:rPr>
          <w:rFonts w:ascii="Times New Roman" w:eastAsia="仿宋_GB2312" w:hAnsi="Times New Roman"/>
          <w:bCs/>
          <w:sz w:val="30"/>
          <w:szCs w:val="30"/>
        </w:rPr>
        <w:t>1</w:t>
      </w:r>
      <w:r>
        <w:rPr>
          <w:rFonts w:ascii="Times New Roman" w:eastAsia="仿宋_GB2312" w:hAnsi="Times New Roman" w:hint="eastAsia"/>
          <w:bCs/>
          <w:sz w:val="30"/>
          <w:szCs w:val="30"/>
        </w:rPr>
        <w:t>）原子尺度调控电极活性位点微环境：</w:t>
      </w:r>
      <w:r>
        <w:rPr>
          <w:rFonts w:ascii="Times New Roman" w:eastAsia="仿宋_GB2312" w:hAnsi="Times New Roman"/>
          <w:sz w:val="30"/>
          <w:szCs w:val="30"/>
        </w:rPr>
        <w:t>利用原位生长</w:t>
      </w:r>
      <w:r>
        <w:rPr>
          <w:rFonts w:ascii="Times New Roman" w:eastAsia="仿宋_GB2312" w:hAnsi="Times New Roman" w:hint="eastAsia"/>
          <w:sz w:val="30"/>
          <w:szCs w:val="30"/>
        </w:rPr>
        <w:t>、</w:t>
      </w:r>
      <w:r>
        <w:rPr>
          <w:rFonts w:ascii="Times New Roman" w:eastAsia="仿宋_GB2312" w:hAnsi="Times New Roman"/>
          <w:sz w:val="30"/>
          <w:szCs w:val="30"/>
        </w:rPr>
        <w:t>自组装</w:t>
      </w:r>
      <w:r>
        <w:rPr>
          <w:rFonts w:ascii="Times New Roman" w:eastAsia="仿宋_GB2312" w:hAnsi="Times New Roman" w:hint="eastAsia"/>
          <w:sz w:val="30"/>
          <w:szCs w:val="30"/>
        </w:rPr>
        <w:t>和微结构工程，结合几何结构和电子结构工程等关键技术实现活性位点微环境的精准调控</w:t>
      </w:r>
      <w:r>
        <w:rPr>
          <w:rFonts w:ascii="Times New Roman" w:eastAsia="仿宋_GB2312" w:hAnsi="Times New Roman"/>
          <w:sz w:val="30"/>
          <w:szCs w:val="30"/>
        </w:rPr>
        <w:t>，获得</w:t>
      </w:r>
      <w:r>
        <w:rPr>
          <w:rFonts w:ascii="Times New Roman" w:eastAsia="仿宋_GB2312" w:hAnsi="Times New Roman" w:hint="eastAsia"/>
          <w:sz w:val="30"/>
          <w:szCs w:val="30"/>
        </w:rPr>
        <w:t>高密度活性位点</w:t>
      </w:r>
      <w:r>
        <w:rPr>
          <w:rFonts w:ascii="Times New Roman" w:eastAsia="仿宋_GB2312" w:hAnsi="Times New Roman"/>
          <w:sz w:val="30"/>
          <w:szCs w:val="30"/>
        </w:rPr>
        <w:t>和</w:t>
      </w:r>
      <w:r>
        <w:rPr>
          <w:rFonts w:ascii="Times New Roman" w:eastAsia="仿宋_GB2312" w:hAnsi="Times New Roman" w:hint="eastAsia"/>
          <w:sz w:val="30"/>
          <w:szCs w:val="30"/>
        </w:rPr>
        <w:t>高本征</w:t>
      </w:r>
      <w:r>
        <w:rPr>
          <w:rFonts w:ascii="Times New Roman" w:eastAsia="仿宋_GB2312" w:hAnsi="Times New Roman"/>
          <w:sz w:val="30"/>
          <w:szCs w:val="30"/>
        </w:rPr>
        <w:t>活性的</w:t>
      </w:r>
      <w:r>
        <w:rPr>
          <w:rFonts w:ascii="Times New Roman" w:eastAsia="仿宋_GB2312" w:hAnsi="Times New Roman" w:hint="eastAsia"/>
          <w:sz w:val="30"/>
          <w:szCs w:val="30"/>
        </w:rPr>
        <w:t>电极材料，为能源转换与存储器件</w:t>
      </w:r>
      <w:r>
        <w:rPr>
          <w:rFonts w:ascii="Times New Roman" w:eastAsia="仿宋_GB2312" w:hAnsi="Times New Roman"/>
          <w:sz w:val="30"/>
          <w:szCs w:val="30"/>
        </w:rPr>
        <w:t>在</w:t>
      </w:r>
      <w:r>
        <w:rPr>
          <w:rFonts w:ascii="Times New Roman" w:eastAsia="仿宋_GB2312" w:hAnsi="Times New Roman" w:hint="eastAsia"/>
          <w:sz w:val="30"/>
          <w:szCs w:val="30"/>
        </w:rPr>
        <w:t>能量</w:t>
      </w:r>
      <w:r>
        <w:rPr>
          <w:rFonts w:ascii="Times New Roman" w:eastAsia="仿宋_GB2312" w:hAnsi="Times New Roman"/>
          <w:sz w:val="30"/>
          <w:szCs w:val="30"/>
        </w:rPr>
        <w:t>密度、</w:t>
      </w:r>
      <w:r>
        <w:rPr>
          <w:rFonts w:ascii="Times New Roman" w:eastAsia="仿宋_GB2312" w:hAnsi="Times New Roman" w:hint="eastAsia"/>
          <w:sz w:val="30"/>
          <w:szCs w:val="30"/>
        </w:rPr>
        <w:t>功率密度和</w:t>
      </w:r>
      <w:r>
        <w:rPr>
          <w:rFonts w:ascii="Times New Roman" w:eastAsia="仿宋_GB2312" w:hAnsi="Times New Roman"/>
          <w:sz w:val="30"/>
          <w:szCs w:val="30"/>
        </w:rPr>
        <w:t>稳定性等方面实现质的飞跃</w:t>
      </w:r>
      <w:r>
        <w:rPr>
          <w:rFonts w:ascii="Times New Roman" w:eastAsia="仿宋_GB2312" w:hAnsi="Times New Roman" w:hint="eastAsia"/>
          <w:sz w:val="30"/>
          <w:szCs w:val="30"/>
        </w:rPr>
        <w:t>提供研究基础</w:t>
      </w:r>
      <w:bookmarkEnd w:id="2"/>
      <w:r>
        <w:rPr>
          <w:rFonts w:ascii="Times New Roman" w:eastAsia="仿宋_GB2312" w:hAnsi="Times New Roman" w:hint="eastAsia"/>
          <w:sz w:val="30"/>
          <w:szCs w:val="30"/>
        </w:rPr>
        <w:t>。</w:t>
      </w:r>
    </w:p>
    <w:p w14:paraId="6696C37D" w14:textId="77777777" w:rsidR="000E78E9" w:rsidRDefault="00000000">
      <w:pPr>
        <w:spacing w:line="560" w:lineRule="exact"/>
        <w:ind w:firstLineChars="200" w:firstLine="600"/>
        <w:rPr>
          <w:rFonts w:ascii="Times New Roman" w:eastAsia="仿宋_GB2312" w:hAnsi="Times New Roman"/>
          <w:bCs/>
          <w:sz w:val="30"/>
          <w:szCs w:val="30"/>
        </w:rPr>
      </w:pPr>
      <w:r>
        <w:rPr>
          <w:rFonts w:ascii="Times New Roman" w:eastAsia="仿宋_GB2312" w:hAnsi="Times New Roman" w:hint="eastAsia"/>
          <w:bCs/>
          <w:sz w:val="30"/>
          <w:szCs w:val="30"/>
        </w:rPr>
        <w:t>（</w:t>
      </w:r>
      <w:r>
        <w:rPr>
          <w:rFonts w:ascii="Times New Roman" w:eastAsia="仿宋_GB2312" w:hAnsi="Times New Roman"/>
          <w:bCs/>
          <w:sz w:val="30"/>
          <w:szCs w:val="30"/>
        </w:rPr>
        <w:t>2</w:t>
      </w:r>
      <w:r>
        <w:rPr>
          <w:rFonts w:ascii="Times New Roman" w:eastAsia="仿宋_GB2312" w:hAnsi="Times New Roman" w:hint="eastAsia"/>
          <w:bCs/>
          <w:sz w:val="30"/>
          <w:szCs w:val="30"/>
        </w:rPr>
        <w:t>）</w:t>
      </w:r>
      <w:bookmarkStart w:id="3" w:name="_Hlk127970051"/>
      <w:proofErr w:type="gramStart"/>
      <w:r>
        <w:rPr>
          <w:rFonts w:ascii="Times New Roman" w:eastAsia="仿宋_GB2312" w:hAnsi="Times New Roman" w:hint="eastAsia"/>
          <w:bCs/>
          <w:sz w:val="30"/>
          <w:szCs w:val="30"/>
        </w:rPr>
        <w:t>介</w:t>
      </w:r>
      <w:proofErr w:type="gramEnd"/>
      <w:r>
        <w:rPr>
          <w:rFonts w:ascii="Times New Roman" w:eastAsia="仿宋_GB2312" w:hAnsi="Times New Roman" w:hint="eastAsia"/>
          <w:bCs/>
          <w:sz w:val="30"/>
          <w:szCs w:val="30"/>
        </w:rPr>
        <w:t>观尺度调控电极物理化学微环境：</w:t>
      </w:r>
      <w:r>
        <w:rPr>
          <w:rFonts w:ascii="Times New Roman" w:eastAsia="仿宋_GB2312" w:hAnsi="Times New Roman" w:hint="eastAsia"/>
          <w:sz w:val="30"/>
          <w:szCs w:val="30"/>
        </w:rPr>
        <w:t>通过二</w:t>
      </w:r>
      <w:proofErr w:type="gramStart"/>
      <w:r>
        <w:rPr>
          <w:rFonts w:ascii="Times New Roman" w:eastAsia="仿宋_GB2312" w:hAnsi="Times New Roman" w:hint="eastAsia"/>
          <w:sz w:val="30"/>
          <w:szCs w:val="30"/>
        </w:rPr>
        <w:t>维材料</w:t>
      </w:r>
      <w:proofErr w:type="gramEnd"/>
      <w:r>
        <w:rPr>
          <w:rFonts w:ascii="Times New Roman" w:eastAsia="仿宋_GB2312" w:hAnsi="Times New Roman" w:hint="eastAsia"/>
          <w:sz w:val="30"/>
          <w:szCs w:val="30"/>
        </w:rPr>
        <w:t>层间距和传质通道的精准调控，实现孔结构和孔内微环境调控，</w:t>
      </w:r>
      <w:bookmarkStart w:id="4" w:name="_Hlk127971767"/>
      <w:r>
        <w:rPr>
          <w:rFonts w:ascii="Times New Roman" w:eastAsia="仿宋_GB2312" w:hAnsi="Times New Roman" w:hint="eastAsia"/>
          <w:sz w:val="30"/>
          <w:szCs w:val="30"/>
        </w:rPr>
        <w:t>消除</w:t>
      </w:r>
      <w:proofErr w:type="gramStart"/>
      <w:r>
        <w:rPr>
          <w:rFonts w:ascii="Times New Roman" w:eastAsia="仿宋_GB2312" w:hAnsi="Times New Roman" w:hint="eastAsia"/>
          <w:sz w:val="30"/>
          <w:szCs w:val="30"/>
        </w:rPr>
        <w:t>微孔限域效应</w:t>
      </w:r>
      <w:proofErr w:type="gramEnd"/>
      <w:r>
        <w:rPr>
          <w:rFonts w:ascii="Times New Roman" w:eastAsia="仿宋_GB2312" w:hAnsi="Times New Roman" w:hint="eastAsia"/>
          <w:sz w:val="30"/>
          <w:szCs w:val="30"/>
        </w:rPr>
        <w:t>，</w:t>
      </w:r>
      <w:bookmarkEnd w:id="4"/>
      <w:r>
        <w:rPr>
          <w:rFonts w:ascii="Times New Roman" w:eastAsia="仿宋_GB2312" w:hAnsi="Times New Roman" w:hint="eastAsia"/>
          <w:sz w:val="30"/>
          <w:szCs w:val="30"/>
        </w:rPr>
        <w:t>构筑高效电化学电路，显著提升</w:t>
      </w:r>
      <w:r>
        <w:rPr>
          <w:rFonts w:ascii="Times New Roman" w:eastAsia="仿宋_GB2312" w:hAnsi="Times New Roman" w:hint="eastAsia"/>
          <w:sz w:val="30"/>
          <w:szCs w:val="30"/>
          <w:shd w:val="clear" w:color="auto" w:fill="FFFFFF"/>
        </w:rPr>
        <w:t>电荷传输和传质动力学</w:t>
      </w:r>
      <w:r>
        <w:rPr>
          <w:rFonts w:ascii="Times New Roman" w:eastAsia="仿宋_GB2312" w:hAnsi="Times New Roman" w:hint="eastAsia"/>
          <w:sz w:val="30"/>
          <w:szCs w:val="30"/>
        </w:rPr>
        <w:t>，为实现高功率和高能量密度储能器件提供新途径。</w:t>
      </w:r>
    </w:p>
    <w:p w14:paraId="00F77767" w14:textId="77777777" w:rsidR="000E78E9" w:rsidRDefault="00000000">
      <w:pPr>
        <w:spacing w:line="560" w:lineRule="exact"/>
        <w:ind w:firstLine="480"/>
        <w:rPr>
          <w:rFonts w:ascii="Times New Roman" w:eastAsia="仿宋_GB2312" w:hAnsi="Times New Roman"/>
          <w:sz w:val="30"/>
          <w:szCs w:val="30"/>
        </w:rPr>
      </w:pPr>
      <w:bookmarkStart w:id="5" w:name="_Hlk127973668"/>
      <w:bookmarkEnd w:id="3"/>
      <w:r>
        <w:rPr>
          <w:rFonts w:ascii="Times New Roman" w:eastAsia="仿宋_GB2312" w:hAnsi="Times New Roman" w:hint="eastAsia"/>
          <w:bCs/>
          <w:sz w:val="30"/>
          <w:szCs w:val="30"/>
        </w:rPr>
        <w:t>（</w:t>
      </w:r>
      <w:r>
        <w:rPr>
          <w:rFonts w:ascii="Times New Roman" w:eastAsia="仿宋_GB2312" w:hAnsi="Times New Roman"/>
          <w:bCs/>
          <w:sz w:val="30"/>
          <w:szCs w:val="30"/>
        </w:rPr>
        <w:t>3</w:t>
      </w:r>
      <w:r>
        <w:rPr>
          <w:rFonts w:ascii="Times New Roman" w:eastAsia="仿宋_GB2312" w:hAnsi="Times New Roman" w:hint="eastAsia"/>
          <w:bCs/>
          <w:sz w:val="30"/>
          <w:szCs w:val="30"/>
        </w:rPr>
        <w:t>）器件层面调控电极电解液界面微环境：</w:t>
      </w:r>
      <w:r>
        <w:rPr>
          <w:rFonts w:ascii="Times New Roman" w:eastAsia="仿宋_GB2312" w:hAnsi="Times New Roman" w:hint="eastAsia"/>
          <w:sz w:val="30"/>
          <w:szCs w:val="30"/>
        </w:rPr>
        <w:t>提出了二维纳米片框架多级结构电极调控电极电解液界面微环境</w:t>
      </w:r>
      <w:r>
        <w:rPr>
          <w:rFonts w:ascii="Times New Roman" w:eastAsia="仿宋_GB2312" w:hAnsi="Times New Roman"/>
          <w:sz w:val="30"/>
          <w:szCs w:val="30"/>
        </w:rPr>
        <w:t>扩宽水系</w:t>
      </w:r>
      <w:r>
        <w:rPr>
          <w:rFonts w:ascii="Times New Roman" w:eastAsia="仿宋_GB2312" w:hAnsi="Times New Roman" w:hint="eastAsia"/>
          <w:sz w:val="30"/>
          <w:szCs w:val="30"/>
        </w:rPr>
        <w:t>储能器件</w:t>
      </w:r>
      <w:r>
        <w:rPr>
          <w:rFonts w:ascii="Times New Roman" w:eastAsia="仿宋_GB2312" w:hAnsi="Times New Roman"/>
          <w:sz w:val="30"/>
          <w:szCs w:val="30"/>
        </w:rPr>
        <w:t>电压的方法，</w:t>
      </w:r>
      <w:r>
        <w:rPr>
          <w:rFonts w:ascii="Times New Roman" w:eastAsia="仿宋_GB2312" w:hAnsi="Times New Roman" w:hint="eastAsia"/>
          <w:sz w:val="30"/>
          <w:szCs w:val="30"/>
        </w:rPr>
        <w:t>系统解决水系储能器件工作电压窗口窄的问题，实现水系宽电压储能器件能量密度与循环稳定性的协同提升，并</w:t>
      </w:r>
      <w:r>
        <w:rPr>
          <w:rFonts w:ascii="Times New Roman" w:eastAsia="仿宋_GB2312" w:hAnsi="Times New Roman" w:hint="eastAsia"/>
          <w:sz w:val="30"/>
          <w:szCs w:val="30"/>
        </w:rPr>
        <w:lastRenderedPageBreak/>
        <w:t>形成了具有自主知识产权的关键电极材料宏量制备与器件集成工艺，实现成果转化</w:t>
      </w:r>
      <w:r>
        <w:rPr>
          <w:rFonts w:ascii="Times New Roman" w:eastAsia="仿宋_GB2312" w:hAnsi="Times New Roman"/>
          <w:sz w:val="30"/>
          <w:szCs w:val="30"/>
        </w:rPr>
        <w:t>。</w:t>
      </w:r>
      <w:bookmarkEnd w:id="5"/>
    </w:p>
    <w:sectPr w:rsidR="000E78E9">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85D606" w14:textId="77777777" w:rsidR="00490250" w:rsidRDefault="00490250">
      <w:pPr>
        <w:rPr>
          <w:rFonts w:hint="eastAsia"/>
        </w:rPr>
      </w:pPr>
      <w:r>
        <w:separator/>
      </w:r>
    </w:p>
  </w:endnote>
  <w:endnote w:type="continuationSeparator" w:id="0">
    <w:p w14:paraId="64C5BADD" w14:textId="77777777" w:rsidR="00490250" w:rsidRDefault="0049025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168542"/>
      <w:docPartObj>
        <w:docPartGallery w:val="AutoText"/>
      </w:docPartObj>
    </w:sdtPr>
    <w:sdtEndPr>
      <w:rPr>
        <w:rFonts w:ascii="Times New Roman" w:hAnsi="Times New Roman" w:cs="Times New Roman"/>
      </w:rPr>
    </w:sdtEndPr>
    <w:sdtContent>
      <w:p w14:paraId="38F10F97" w14:textId="77777777" w:rsidR="000E78E9" w:rsidRDefault="00000000">
        <w:pPr>
          <w:pStyle w:val="a3"/>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14:paraId="734C03C5" w14:textId="77777777" w:rsidR="000E78E9" w:rsidRDefault="000E78E9">
    <w:pPr>
      <w:pStyle w:val="a3"/>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60ED22" w14:textId="77777777" w:rsidR="00490250" w:rsidRDefault="00490250">
      <w:pPr>
        <w:rPr>
          <w:rFonts w:hint="eastAsia"/>
        </w:rPr>
      </w:pPr>
      <w:r>
        <w:separator/>
      </w:r>
    </w:p>
  </w:footnote>
  <w:footnote w:type="continuationSeparator" w:id="0">
    <w:p w14:paraId="72986AFC" w14:textId="77777777" w:rsidR="00490250" w:rsidRDefault="00490250">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92D"/>
    <w:rsid w:val="000A691D"/>
    <w:rsid w:val="000D43DB"/>
    <w:rsid w:val="000E78E9"/>
    <w:rsid w:val="001778A2"/>
    <w:rsid w:val="00194E22"/>
    <w:rsid w:val="002763E6"/>
    <w:rsid w:val="00287E66"/>
    <w:rsid w:val="0029047D"/>
    <w:rsid w:val="002F0F5D"/>
    <w:rsid w:val="003C0665"/>
    <w:rsid w:val="003F4C0C"/>
    <w:rsid w:val="004532AC"/>
    <w:rsid w:val="00470B12"/>
    <w:rsid w:val="00490250"/>
    <w:rsid w:val="004F096D"/>
    <w:rsid w:val="00522627"/>
    <w:rsid w:val="00563601"/>
    <w:rsid w:val="00577CF9"/>
    <w:rsid w:val="005B724F"/>
    <w:rsid w:val="006515EA"/>
    <w:rsid w:val="00690E68"/>
    <w:rsid w:val="006A2F7D"/>
    <w:rsid w:val="006E2E24"/>
    <w:rsid w:val="007609CD"/>
    <w:rsid w:val="007818BD"/>
    <w:rsid w:val="007B4AAF"/>
    <w:rsid w:val="00874336"/>
    <w:rsid w:val="0087531C"/>
    <w:rsid w:val="008A528C"/>
    <w:rsid w:val="00927936"/>
    <w:rsid w:val="00981CE4"/>
    <w:rsid w:val="00A2254C"/>
    <w:rsid w:val="00A53FEF"/>
    <w:rsid w:val="00AE4B15"/>
    <w:rsid w:val="00B131C6"/>
    <w:rsid w:val="00CA1898"/>
    <w:rsid w:val="00CE5ADA"/>
    <w:rsid w:val="00D73D9C"/>
    <w:rsid w:val="00DA4DB6"/>
    <w:rsid w:val="00DC3FF1"/>
    <w:rsid w:val="00DD6C3E"/>
    <w:rsid w:val="00E6492D"/>
    <w:rsid w:val="00EE79B5"/>
    <w:rsid w:val="00F51269"/>
    <w:rsid w:val="00FF3365"/>
    <w:rsid w:val="189A3E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664AC"/>
  <w15:docId w15:val="{4391E6DF-1269-4A7A-945E-8445573E7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7">
    <w:name w:val="List Paragraph"/>
    <w:basedOn w:val="a"/>
    <w:uiPriority w:val="34"/>
    <w:qFormat/>
    <w:pPr>
      <w:ind w:firstLineChars="200" w:firstLine="420"/>
    </w:pPr>
    <w:rPr>
      <w:rFonts w:ascii="Times New Roman" w:eastAsia="宋体" w:hAnsi="Times New Roman"/>
      <w:sz w:val="24"/>
    </w:rPr>
  </w:style>
  <w:style w:type="character" w:customStyle="1" w:styleId="title-text">
    <w:name w:val="title-text"/>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266</TotalTime>
  <Pages>1</Pages>
  <Words>182</Words>
  <Characters>1044</Characters>
  <Application>Microsoft Office Word</Application>
  <DocSecurity>0</DocSecurity>
  <Lines>8</Lines>
  <Paragraphs>2</Paragraphs>
  <ScaleCrop>false</ScaleCrop>
  <Company/>
  <LinksUpToDate>false</LinksUpToDate>
  <CharactersWithSpaces>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yu mao</cp:lastModifiedBy>
  <cp:revision>28</cp:revision>
  <dcterms:created xsi:type="dcterms:W3CDTF">2024-11-26T08:37:00Z</dcterms:created>
  <dcterms:modified xsi:type="dcterms:W3CDTF">2024-12-13T09:02:00Z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BBE95E7D803547A0BD090FE7D2348EBC_12</vt:lpwstr>
  </property>
</Properties>
</file>