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9E6E1">
      <w:pPr>
        <w:spacing w:line="580" w:lineRule="exact"/>
        <w:outlineLvl w:val="1"/>
        <w:rPr>
          <w:rFonts w:hint="eastAsia" w:ascii="仿宋_GB2312" w:hAnsi="Times New Roman" w:eastAsia="仿宋_GB2312"/>
          <w:b/>
          <w:bCs/>
          <w:sz w:val="28"/>
          <w:szCs w:val="28"/>
        </w:rPr>
      </w:pPr>
      <w:bookmarkStart w:id="2" w:name="_GoBack"/>
      <w:bookmarkEnd w:id="2"/>
      <w:r>
        <w:rPr>
          <w:rFonts w:hint="eastAsia" w:ascii="仿宋_GB2312" w:hAnsi="Times New Roman" w:eastAsia="仿宋_GB2312"/>
          <w:b/>
          <w:bCs/>
          <w:sz w:val="28"/>
          <w:szCs w:val="28"/>
        </w:rPr>
        <w:t>候选人基本情况:</w:t>
      </w:r>
    </w:p>
    <w:p w14:paraId="6A6B4052">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张令，土壤学博士，江西农业大学研究员，博士研究生导师，江西省“双千计划”人才项目入选者。兼任中国土壤学会森林土壤专业委员会委员，中国林学会经济林分会理事，任Plant Ecology、Journal of Integrative Agriculture、应用生态学报等多个SCI期刊或核心期刊副主编、青年编委等。</w:t>
      </w:r>
    </w:p>
    <w:p w14:paraId="07A1565B">
      <w:pPr>
        <w:spacing w:line="580" w:lineRule="exact"/>
        <w:ind w:firstLine="560" w:firstLineChars="200"/>
        <w:outlineLvl w:val="1"/>
        <w:rPr>
          <w:rFonts w:ascii="仿宋_GB2312" w:hAnsi="Times New Roman" w:eastAsia="仿宋_GB2312"/>
          <w:sz w:val="28"/>
          <w:szCs w:val="28"/>
        </w:rPr>
      </w:pPr>
      <w:r>
        <w:rPr>
          <w:rFonts w:hint="eastAsia" w:ascii="仿宋_GB2312" w:hAnsi="Times New Roman" w:eastAsia="仿宋_GB2312"/>
          <w:sz w:val="28"/>
          <w:szCs w:val="28"/>
        </w:rPr>
        <w:t>候选人立足江西产业特色，胸怀祖国，践行无私奉献精神，紧扣“碳达峰、碳中和”国家战略，致力于研发符合省情、国情，易于推广的减排增汇策略。在该领域不断开拓创新，以赤诚之心投身科学研究，为国家战略的实施和科技进步贡献智慧与力量，勇攀科学高峰。</w:t>
      </w:r>
    </w:p>
    <w:p w14:paraId="66BBA438">
      <w:pPr>
        <w:spacing w:line="580" w:lineRule="exact"/>
        <w:outlineLvl w:val="1"/>
        <w:rPr>
          <w:rFonts w:ascii="仿宋_GB2312" w:hAnsi="Times New Roman" w:eastAsia="仿宋_GB2312"/>
          <w:sz w:val="28"/>
          <w:szCs w:val="28"/>
        </w:rPr>
      </w:pPr>
      <w:r>
        <w:rPr>
          <w:rFonts w:hint="eastAsia" w:ascii="仿宋_GB2312" w:hAnsi="Times New Roman" w:eastAsia="仿宋_GB2312"/>
          <w:b/>
          <w:bCs/>
          <w:sz w:val="28"/>
          <w:szCs w:val="28"/>
        </w:rPr>
        <w:t>提名者：</w:t>
      </w:r>
      <w:r>
        <w:rPr>
          <w:rFonts w:hint="eastAsia" w:ascii="仿宋_GB2312" w:hAnsi="Times New Roman" w:eastAsia="仿宋_GB2312"/>
          <w:sz w:val="28"/>
          <w:szCs w:val="28"/>
        </w:rPr>
        <w:t>江西省教育厅</w:t>
      </w:r>
    </w:p>
    <w:p w14:paraId="5BD8FD74">
      <w:pPr>
        <w:spacing w:line="580" w:lineRule="exact"/>
        <w:outlineLvl w:val="1"/>
        <w:rPr>
          <w:rFonts w:ascii="仿宋_GB2312" w:hAnsi="Times New Roman" w:eastAsia="仿宋_GB2312"/>
          <w:b/>
          <w:bCs/>
          <w:sz w:val="28"/>
          <w:szCs w:val="28"/>
        </w:rPr>
      </w:pPr>
      <w:r>
        <w:rPr>
          <w:rFonts w:hint="eastAsia" w:ascii="仿宋_GB2312" w:hAnsi="Times New Roman" w:eastAsia="仿宋_GB2312"/>
          <w:b/>
          <w:bCs/>
          <w:sz w:val="28"/>
          <w:szCs w:val="28"/>
        </w:rPr>
        <w:t>提名意见：</w:t>
      </w:r>
    </w:p>
    <w:p w14:paraId="789A9061">
      <w:pPr>
        <w:spacing w:line="540" w:lineRule="exact"/>
        <w:ind w:firstLine="422" w:firstLineChars="150"/>
        <w:rPr>
          <w:rFonts w:ascii="仿宋_GB2312" w:hAnsi="Times New Roman" w:eastAsia="仿宋_GB2312"/>
          <w:sz w:val="28"/>
          <w:szCs w:val="28"/>
        </w:rPr>
      </w:pPr>
      <w:r>
        <w:rPr>
          <w:rFonts w:hint="eastAsia" w:ascii="仿宋_GB2312" w:hAnsi="Times New Roman" w:eastAsia="仿宋_GB2312"/>
          <w:b/>
          <w:bCs/>
          <w:sz w:val="28"/>
          <w:szCs w:val="28"/>
        </w:rPr>
        <w:t xml:space="preserve"> </w:t>
      </w:r>
      <w:r>
        <w:rPr>
          <w:rFonts w:hint="eastAsia" w:ascii="仿宋_GB2312" w:hAnsi="Times New Roman" w:eastAsia="仿宋_GB2312"/>
          <w:sz w:val="28"/>
          <w:szCs w:val="28"/>
        </w:rPr>
        <w:t>候选人深入贯彻国家“碳达峰、碳中和”战略，聚焦江西省特色农、林、草生态系统的保护、开发与利用，以生态系统温室气体减排与增汇为核心，系统开展了特色生态系统温室气体排放潜力评估及减排机制研究。相关工作对减少温室气体排放，提升碳汇能力，缓解气候变化，以及助力我国“双碳”战略目标的实现具有重要意义。</w:t>
      </w:r>
    </w:p>
    <w:p w14:paraId="5CA1D146">
      <w:pPr>
        <w:spacing w:line="540" w:lineRule="exact"/>
        <w:ind w:firstLine="420" w:firstLineChars="150"/>
        <w:rPr>
          <w:rFonts w:ascii="仿宋_GB2312" w:hAnsi="Times New Roman" w:eastAsia="仿宋_GB2312"/>
          <w:sz w:val="28"/>
          <w:szCs w:val="28"/>
        </w:rPr>
      </w:pPr>
      <w:r>
        <w:rPr>
          <w:rFonts w:hint="eastAsia" w:ascii="仿宋_GB2312" w:hAnsi="Times New Roman" w:eastAsia="仿宋_GB2312"/>
          <w:sz w:val="28"/>
          <w:szCs w:val="28"/>
        </w:rPr>
        <w:t>候选人心怀祖国、无私奉献，以攀登科学高峰为己任，在科研道路上追求真理、锐意创新，为推动江西省“双碳”战略的实施贡献了智慧与力量。其研究不仅在基础理论方面取得了重要突破，还在创新技术研发和高层次人才培养等方面成果显著，对我省“双碳”领域的发展及国家战略实施起到了有力的推动作用。</w:t>
      </w:r>
    </w:p>
    <w:p w14:paraId="0DD0745F">
      <w:pPr>
        <w:spacing w:line="540" w:lineRule="exact"/>
        <w:ind w:firstLine="420" w:firstLineChars="150"/>
        <w:rPr>
          <w:rFonts w:hint="eastAsia" w:ascii="仿宋_GB2312" w:hAnsi="Times New Roman" w:eastAsia="仿宋_GB2312"/>
          <w:sz w:val="28"/>
          <w:szCs w:val="28"/>
        </w:rPr>
      </w:pPr>
    </w:p>
    <w:p w14:paraId="2F8F69EC">
      <w:pPr>
        <w:spacing w:line="580" w:lineRule="exact"/>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候选人的主要科学技术成就与贡献:</w:t>
      </w:r>
    </w:p>
    <w:p w14:paraId="6FB3A89F">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候选人紧密围绕“碳达峰、碳中和”国家战略，立足江西省特色农、林、草生态系统的保护、开发与利用，以生态系统温室气体减排增汇为核心，开展了一系列研究工作。在基础理论研究、创新技术研发和人才培养等方面取得了显著成果，为相关领域的发展做出了重要贡献。</w:t>
      </w:r>
    </w:p>
    <w:p w14:paraId="3331621A">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主要科学发现和技术创新点如下：</w:t>
      </w:r>
    </w:p>
    <w:p w14:paraId="2F21764F">
      <w:pPr>
        <w:spacing w:line="580" w:lineRule="exact"/>
        <w:ind w:firstLine="562" w:firstLineChars="200"/>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1）</w:t>
      </w:r>
      <w:bookmarkStart w:id="0" w:name="OLE_LINK1"/>
      <w:bookmarkStart w:id="1" w:name="_Hlk184631675"/>
      <w:r>
        <w:rPr>
          <w:rFonts w:hint="eastAsia" w:ascii="仿宋_GB2312" w:hAnsi="Times New Roman" w:eastAsia="仿宋_GB2312"/>
          <w:b/>
          <w:bCs/>
          <w:sz w:val="28"/>
          <w:szCs w:val="28"/>
        </w:rPr>
        <w:t>经济林副产物资源化利用结合水肥管理</w:t>
      </w:r>
      <w:bookmarkEnd w:id="0"/>
      <w:bookmarkEnd w:id="1"/>
      <w:r>
        <w:rPr>
          <w:rFonts w:hint="eastAsia" w:ascii="仿宋_GB2312" w:hAnsi="Times New Roman" w:eastAsia="仿宋_GB2312"/>
          <w:b/>
          <w:bCs/>
          <w:sz w:val="28"/>
          <w:szCs w:val="28"/>
        </w:rPr>
        <w:t>可有效减少土壤N</w:t>
      </w:r>
      <w:r>
        <w:rPr>
          <w:rFonts w:hint="eastAsia" w:ascii="仿宋_GB2312" w:hAnsi="Times New Roman" w:eastAsia="仿宋_GB2312"/>
          <w:b/>
          <w:bCs/>
          <w:sz w:val="28"/>
          <w:szCs w:val="28"/>
          <w:vertAlign w:val="subscript"/>
        </w:rPr>
        <w:t>2</w:t>
      </w:r>
      <w:r>
        <w:rPr>
          <w:rFonts w:hint="eastAsia" w:ascii="仿宋_GB2312" w:hAnsi="Times New Roman" w:eastAsia="仿宋_GB2312"/>
          <w:b/>
          <w:bCs/>
          <w:sz w:val="28"/>
          <w:szCs w:val="28"/>
        </w:rPr>
        <w:t>O排放</w:t>
      </w:r>
    </w:p>
    <w:p w14:paraId="31C47DE8">
      <w:pPr>
        <w:spacing w:line="580" w:lineRule="exact"/>
        <w:ind w:firstLine="560" w:firstLineChars="200"/>
        <w:outlineLvl w:val="1"/>
        <w:rPr>
          <w:rFonts w:hint="eastAsia" w:ascii="仿宋_GB2312" w:hAnsi="Times New Roman" w:eastAsia="仿宋_GB2312"/>
          <w:bCs/>
          <w:sz w:val="28"/>
          <w:szCs w:val="28"/>
        </w:rPr>
      </w:pPr>
      <w:r>
        <w:rPr>
          <w:rFonts w:hint="eastAsia" w:ascii="仿宋_GB2312" w:hAnsi="Times New Roman" w:eastAsia="仿宋_GB2312"/>
          <w:bCs/>
          <w:sz w:val="28"/>
          <w:szCs w:val="28"/>
        </w:rPr>
        <w:t xml:space="preserve">油茶是我国特有的木本油料作物树种，江西是油茶的主产区。油茶果壳通常作为废弃物被直接丢弃或就地燃烧，不仅造成资源浪费，也加大了温室气体排放。本研究开展了一系列关于油茶壳的研究，包括油茶壳生物质炭、油茶壳生物质炭改良保水剂，油茶壳菌菇棒生物炭。原位观测中发现，相比于低温（300、450 </w:t>
      </w:r>
      <w:r>
        <w:rPr>
          <w:rFonts w:hint="eastAsia" w:ascii="仿宋_GB2312" w:hAnsi="宋体" w:eastAsia="仿宋_GB2312" w:cs="宋体"/>
          <w:bCs/>
          <w:sz w:val="28"/>
          <w:szCs w:val="28"/>
        </w:rPr>
        <w:t>℃</w:t>
      </w:r>
      <w:r>
        <w:rPr>
          <w:rFonts w:hint="eastAsia" w:ascii="仿宋_GB2312" w:hAnsi="Times New Roman" w:eastAsia="仿宋_GB2312"/>
          <w:bCs/>
          <w:sz w:val="28"/>
          <w:szCs w:val="28"/>
        </w:rPr>
        <w:t xml:space="preserve">），高温（600 </w:t>
      </w:r>
      <w:r>
        <w:rPr>
          <w:rFonts w:hint="eastAsia" w:ascii="仿宋_GB2312" w:hAnsi="宋体" w:eastAsia="仿宋_GB2312" w:cs="宋体"/>
          <w:bCs/>
          <w:sz w:val="28"/>
          <w:szCs w:val="28"/>
        </w:rPr>
        <w:t>℃</w:t>
      </w:r>
      <w:r>
        <w:rPr>
          <w:rFonts w:hint="eastAsia" w:ascii="仿宋_GB2312" w:hAnsi="Times New Roman" w:eastAsia="仿宋_GB2312"/>
          <w:bCs/>
          <w:sz w:val="28"/>
          <w:szCs w:val="28"/>
        </w:rPr>
        <w:t>）裂解生成的废弃菌棒生物质炭是减少毛竹林施氮土壤温室气体排放的最佳策略，油茶壳生物质炭改良保水剂的保水性能更佳。不同生物质炭（油茶壳生物质炭、以油茶壳为基质碳源的废料菌棒生物质炭）和不同水分（70%和120%田间最大持水量）对施氮水稻土N</w:t>
      </w:r>
      <w:r>
        <w:rPr>
          <w:rFonts w:hint="eastAsia" w:ascii="仿宋_GB2312" w:hAnsi="Times New Roman" w:eastAsia="仿宋_GB2312"/>
          <w:bCs/>
          <w:sz w:val="28"/>
          <w:szCs w:val="28"/>
          <w:vertAlign w:val="subscript"/>
        </w:rPr>
        <w:t>2</w:t>
      </w:r>
      <w:r>
        <w:rPr>
          <w:rFonts w:hint="eastAsia" w:ascii="仿宋_GB2312" w:hAnsi="Times New Roman" w:eastAsia="仿宋_GB2312"/>
          <w:bCs/>
          <w:sz w:val="28"/>
          <w:szCs w:val="28"/>
        </w:rPr>
        <w:t>O排放的影响研究发现，在氮添加处理下，相比于高水分含量土壤，低水分含量土壤的N</w:t>
      </w:r>
      <w:r>
        <w:rPr>
          <w:rFonts w:hint="eastAsia" w:ascii="仿宋_GB2312" w:hAnsi="Times New Roman" w:eastAsia="仿宋_GB2312"/>
          <w:bCs/>
          <w:sz w:val="28"/>
          <w:szCs w:val="28"/>
          <w:vertAlign w:val="subscript"/>
        </w:rPr>
        <w:t>2</w:t>
      </w:r>
      <w:r>
        <w:rPr>
          <w:rFonts w:hint="eastAsia" w:ascii="仿宋_GB2312" w:hAnsi="Times New Roman" w:eastAsia="仿宋_GB2312"/>
          <w:bCs/>
          <w:sz w:val="28"/>
          <w:szCs w:val="28"/>
        </w:rPr>
        <w:t>O排放更低。油茶壳生物质炭具有较低的N</w:t>
      </w:r>
      <w:r>
        <w:rPr>
          <w:rFonts w:hint="eastAsia" w:ascii="仿宋_GB2312" w:hAnsi="Times New Roman" w:eastAsia="仿宋_GB2312"/>
          <w:bCs/>
          <w:sz w:val="28"/>
          <w:szCs w:val="28"/>
          <w:vertAlign w:val="subscript"/>
        </w:rPr>
        <w:t>2</w:t>
      </w:r>
      <w:r>
        <w:rPr>
          <w:rFonts w:hint="eastAsia" w:ascii="仿宋_GB2312" w:hAnsi="Times New Roman" w:eastAsia="仿宋_GB2312"/>
          <w:bCs/>
          <w:sz w:val="28"/>
          <w:szCs w:val="28"/>
        </w:rPr>
        <w:t>O排放。因此，在今后的田间管理中，可通过经济林副产物资源化利用结合水肥管理等措施调控土壤含水率，可有效减少土壤N</w:t>
      </w:r>
      <w:r>
        <w:rPr>
          <w:rFonts w:hint="eastAsia" w:ascii="仿宋_GB2312" w:hAnsi="Times New Roman" w:eastAsia="仿宋_GB2312"/>
          <w:bCs/>
          <w:sz w:val="28"/>
          <w:szCs w:val="28"/>
          <w:vertAlign w:val="subscript"/>
        </w:rPr>
        <w:t>2</w:t>
      </w:r>
      <w:r>
        <w:rPr>
          <w:rFonts w:hint="eastAsia" w:ascii="仿宋_GB2312" w:hAnsi="Times New Roman" w:eastAsia="仿宋_GB2312"/>
          <w:bCs/>
          <w:sz w:val="28"/>
          <w:szCs w:val="28"/>
        </w:rPr>
        <w:t>O排放。</w:t>
      </w:r>
    </w:p>
    <w:p w14:paraId="5A1EF284">
      <w:pPr>
        <w:spacing w:line="580" w:lineRule="exact"/>
        <w:ind w:firstLine="562" w:firstLineChars="200"/>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2）土壤动物活动和林分构成变化可有效调控天然林土壤温室气体排放</w:t>
      </w:r>
    </w:p>
    <w:p w14:paraId="704A857F">
      <w:pPr>
        <w:spacing w:line="580" w:lineRule="exact"/>
        <w:ind w:firstLine="560" w:firstLineChars="200"/>
        <w:outlineLvl w:val="1"/>
        <w:rPr>
          <w:rFonts w:hint="eastAsia" w:ascii="仿宋_GB2312" w:hAnsi="Times New Roman" w:eastAsia="仿宋_GB2312"/>
          <w:bCs/>
          <w:sz w:val="28"/>
          <w:szCs w:val="28"/>
        </w:rPr>
      </w:pPr>
      <w:r>
        <w:rPr>
          <w:rFonts w:hint="eastAsia" w:ascii="仿宋_GB2312" w:hAnsi="Times New Roman" w:eastAsia="仿宋_GB2312"/>
          <w:sz w:val="28"/>
          <w:szCs w:val="28"/>
        </w:rPr>
        <w:t>以庐山</w:t>
      </w:r>
      <w:r>
        <w:rPr>
          <w:rFonts w:hint="eastAsia" w:ascii="仿宋_GB2312" w:hAnsi="Times New Roman" w:eastAsia="仿宋_GB2312"/>
          <w:bCs/>
          <w:sz w:val="28"/>
          <w:szCs w:val="28"/>
        </w:rPr>
        <w:t xml:space="preserve">天然林为研究对象，发现土壤动物群落，尤其是白蚁，在氮沉降和增温等全球变化因子下对温室气体排放有重要调节作用。研究发现，在低温（15和25 </w:t>
      </w:r>
      <w:r>
        <w:rPr>
          <w:rFonts w:hint="eastAsia" w:ascii="仿宋_GB2312" w:hAnsi="宋体" w:eastAsia="仿宋_GB2312" w:cs="宋体"/>
          <w:bCs/>
          <w:sz w:val="28"/>
          <w:szCs w:val="28"/>
        </w:rPr>
        <w:t>℃</w:t>
      </w:r>
      <w:r>
        <w:rPr>
          <w:rFonts w:hint="eastAsia" w:ascii="仿宋_GB2312" w:hAnsi="Times New Roman" w:eastAsia="仿宋_GB2312"/>
          <w:bCs/>
          <w:sz w:val="28"/>
          <w:szCs w:val="28"/>
        </w:rPr>
        <w:t>）条件下，毛竹扩张对土壤温室气体排放没有影响；高温（35</w:t>
      </w:r>
      <w:r>
        <w:rPr>
          <w:rFonts w:hint="eastAsia" w:ascii="仿宋_GB2312" w:hAnsi="宋体" w:eastAsia="仿宋_GB2312" w:cs="宋体"/>
          <w:bCs/>
          <w:sz w:val="28"/>
          <w:szCs w:val="28"/>
        </w:rPr>
        <w:t>℃</w:t>
      </w:r>
      <w:r>
        <w:rPr>
          <w:rFonts w:hint="eastAsia" w:ascii="仿宋_GB2312" w:hAnsi="Times New Roman" w:eastAsia="仿宋_GB2312"/>
          <w:bCs/>
          <w:sz w:val="28"/>
          <w:szCs w:val="28"/>
        </w:rPr>
        <w:t>）条件下，毛竹扩张尽管降低了土壤N</w:t>
      </w:r>
      <w:r>
        <w:rPr>
          <w:rFonts w:hint="eastAsia" w:ascii="仿宋_GB2312" w:hAnsi="Times New Roman" w:eastAsia="仿宋_GB2312"/>
          <w:bCs/>
          <w:sz w:val="28"/>
          <w:szCs w:val="28"/>
          <w:vertAlign w:val="subscript"/>
        </w:rPr>
        <w:t>2</w:t>
      </w:r>
      <w:r>
        <w:rPr>
          <w:rFonts w:hint="eastAsia" w:ascii="仿宋_GB2312" w:hAnsi="Times New Roman" w:eastAsia="仿宋_GB2312"/>
          <w:bCs/>
          <w:sz w:val="28"/>
          <w:szCs w:val="28"/>
        </w:rPr>
        <w:t>O排放，但却增加了土壤CO</w:t>
      </w:r>
      <w:r>
        <w:rPr>
          <w:rFonts w:hint="eastAsia" w:ascii="仿宋_GB2312" w:hAnsi="Times New Roman" w:eastAsia="仿宋_GB2312"/>
          <w:bCs/>
          <w:sz w:val="28"/>
          <w:szCs w:val="28"/>
          <w:vertAlign w:val="subscript"/>
        </w:rPr>
        <w:t>2</w:t>
      </w:r>
      <w:r>
        <w:rPr>
          <w:rFonts w:hint="eastAsia" w:ascii="仿宋_GB2312" w:hAnsi="Times New Roman" w:eastAsia="仿宋_GB2312"/>
          <w:bCs/>
          <w:sz w:val="28"/>
          <w:szCs w:val="28"/>
        </w:rPr>
        <w:t>排放。因此，气候变暖是影响毛竹林扩张及其综合温室气体排放的重要因子，在我省天然林壤温室气体排放评估和减排策略制定方面不可忽视。此外，在氮沉降和增温等全球变化背景下，毛竹林可能具有很强的扩张趋势，严重威胁周边天然林生存空间，也可能间接影响土壤温室气体排放。</w:t>
      </w:r>
    </w:p>
    <w:p w14:paraId="6C24FD59">
      <w:pPr>
        <w:spacing w:line="580" w:lineRule="exact"/>
        <w:ind w:firstLine="562" w:firstLineChars="200"/>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3）本地物种用于退化草甸修复有利于缓解生态系统温室气体排放</w:t>
      </w:r>
    </w:p>
    <w:p w14:paraId="62182515">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对江西省退化山地草甸生态修复的研究中发现，选择当地优势物种进行草甸修复有利于草甸的恢复和全球变化因素的缓解。使用不同植物物种恢复退化草甸可能会通过物种间形态和生理特征的差异改变土壤碳和氮输入，进一步影响草甸生态系统CO</w:t>
      </w:r>
      <w:r>
        <w:rPr>
          <w:rFonts w:hint="eastAsia" w:ascii="仿宋_GB2312" w:hAnsi="Times New Roman" w:eastAsia="仿宋_GB2312"/>
          <w:sz w:val="28"/>
          <w:szCs w:val="28"/>
          <w:vertAlign w:val="subscript"/>
        </w:rPr>
        <w:t>2</w:t>
      </w:r>
      <w:r>
        <w:rPr>
          <w:rFonts w:hint="eastAsia" w:ascii="仿宋_GB2312" w:hAnsi="Times New Roman" w:eastAsia="仿宋_GB2312"/>
          <w:sz w:val="28"/>
          <w:szCs w:val="28"/>
        </w:rPr>
        <w:t>和N</w:t>
      </w:r>
      <w:r>
        <w:rPr>
          <w:rFonts w:hint="eastAsia" w:ascii="仿宋_GB2312" w:hAnsi="Times New Roman" w:eastAsia="仿宋_GB2312"/>
          <w:sz w:val="28"/>
          <w:szCs w:val="28"/>
          <w:vertAlign w:val="subscript"/>
        </w:rPr>
        <w:t>2</w:t>
      </w:r>
      <w:r>
        <w:rPr>
          <w:rFonts w:hint="eastAsia" w:ascii="仿宋_GB2312" w:hAnsi="Times New Roman" w:eastAsia="仿宋_GB2312"/>
          <w:sz w:val="28"/>
          <w:szCs w:val="28"/>
        </w:rPr>
        <w:t>O排放。草甸土壤N</w:t>
      </w:r>
      <w:r>
        <w:rPr>
          <w:rFonts w:hint="eastAsia" w:ascii="仿宋_GB2312" w:hAnsi="Times New Roman" w:eastAsia="仿宋_GB2312"/>
          <w:sz w:val="28"/>
          <w:szCs w:val="28"/>
          <w:vertAlign w:val="subscript"/>
        </w:rPr>
        <w:t>2</w:t>
      </w:r>
      <w:r>
        <w:rPr>
          <w:rFonts w:hint="eastAsia" w:ascii="仿宋_GB2312" w:hAnsi="Times New Roman" w:eastAsia="仿宋_GB2312"/>
          <w:sz w:val="28"/>
          <w:szCs w:val="28"/>
        </w:rPr>
        <w:t>O排放率随变暖以及变暖与修复物种的相互作用而变化。与未恢复的裸土区域相比，植被恢复地块的土壤CO</w:t>
      </w:r>
      <w:r>
        <w:rPr>
          <w:rFonts w:hint="eastAsia" w:ascii="仿宋_GB2312" w:hAnsi="Times New Roman" w:eastAsia="仿宋_GB2312"/>
          <w:sz w:val="28"/>
          <w:szCs w:val="28"/>
          <w:vertAlign w:val="subscript"/>
        </w:rPr>
        <w:t>2</w:t>
      </w:r>
      <w:r>
        <w:rPr>
          <w:rFonts w:hint="eastAsia" w:ascii="仿宋_GB2312" w:hAnsi="Times New Roman" w:eastAsia="仿宋_GB2312"/>
          <w:sz w:val="28"/>
          <w:szCs w:val="28"/>
        </w:rPr>
        <w:t>排放率平均较高（生态修复的主要影响），并且随着变暖而增加，物种和变暖之间存在显着的交互作用。该发现对亚热带地区退化山地草甸的生态修复及其温室气体减排增汇管理具有重要理论指导作用。</w:t>
      </w:r>
    </w:p>
    <w:p w14:paraId="55D15B95">
      <w:pPr>
        <w:spacing w:line="580" w:lineRule="exact"/>
        <w:ind w:firstLine="560" w:firstLineChars="200"/>
        <w:outlineLvl w:val="1"/>
        <w:rPr>
          <w:rFonts w:hint="eastAsia" w:ascii="仿宋_GB2312" w:hAnsi="Times New Roman" w:eastAsia="仿宋_GB2312"/>
          <w:sz w:val="28"/>
          <w:szCs w:val="28"/>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4FD1D">
    <w:pPr>
      <w:pStyle w:val="3"/>
      <w:ind w:right="210" w:rightChars="100" w:firstLine="294" w:firstLineChars="105"/>
      <w:jc w:val="right"/>
    </w:pPr>
    <w:r>
      <w:rPr>
        <w:rFonts w:ascii="Times New Roman" w:hAnsi="Times New Roman"/>
        <w:sz w:val="28"/>
        <w:szCs w:val="28"/>
      </w:rPr>
      <w:t xml:space="preserve">— </w:t>
    </w:r>
    <w:r>
      <w:rPr>
        <w:sz w:val="28"/>
        <w:szCs w:val="28"/>
      </w:rPr>
      <w:fldChar w:fldCharType="begin"/>
    </w:r>
    <w:r>
      <w:rPr>
        <w:rFonts w:ascii="Times New Roman" w:hAnsi="Times New Roman"/>
        <w:sz w:val="28"/>
        <w:szCs w:val="28"/>
      </w:rPr>
      <w:instrText xml:space="preserve">PAGE  </w:instrText>
    </w:r>
    <w:r>
      <w:rPr>
        <w:sz w:val="28"/>
        <w:szCs w:val="28"/>
      </w:rPr>
      <w:fldChar w:fldCharType="separate"/>
    </w:r>
    <w:r>
      <w:rPr>
        <w:rFonts w:ascii="Times New Roman" w:hAnsi="Times New Roman"/>
        <w:sz w:val="28"/>
        <w:szCs w:val="28"/>
      </w:rPr>
      <w:t>1</w:t>
    </w:r>
    <w:r>
      <w:rPr>
        <w:sz w:val="28"/>
        <w:szCs w:val="28"/>
      </w:rPr>
      <w:fldChar w:fldCharType="end"/>
    </w:r>
    <w:r>
      <w:rPr>
        <w:rFonts w:ascii="Times New Roman" w:hAnsi="Times New Roman"/>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FCA82">
    <w:pPr>
      <w:pStyle w:val="3"/>
      <w:ind w:right="210" w:rightChars="100"/>
    </w:pPr>
    <w:r>
      <w:rPr>
        <w:rFonts w:ascii="Times New Roman" w:hAnsi="Times New Roman"/>
        <w:sz w:val="28"/>
        <w:szCs w:val="28"/>
      </w:rPr>
      <w:t xml:space="preserve">— </w:t>
    </w:r>
    <w:r>
      <w:rPr>
        <w:sz w:val="28"/>
        <w:szCs w:val="28"/>
      </w:rPr>
      <w:fldChar w:fldCharType="begin"/>
    </w:r>
    <w:r>
      <w:rPr>
        <w:rFonts w:ascii="Times New Roman" w:hAnsi="Times New Roman"/>
        <w:sz w:val="28"/>
        <w:szCs w:val="28"/>
      </w:rPr>
      <w:instrText xml:space="preserve">PAGE  </w:instrText>
    </w:r>
    <w:r>
      <w:rPr>
        <w:sz w:val="28"/>
        <w:szCs w:val="28"/>
      </w:rPr>
      <w:fldChar w:fldCharType="separate"/>
    </w:r>
    <w:r>
      <w:rPr>
        <w:rFonts w:ascii="Times New Roman" w:hAnsi="Times New Roman"/>
        <w:sz w:val="28"/>
        <w:szCs w:val="28"/>
      </w:rPr>
      <w:t>1</w:t>
    </w:r>
    <w:r>
      <w:rPr>
        <w:sz w:val="28"/>
        <w:szCs w:val="28"/>
      </w:rPr>
      <w:fldChar w:fldCharType="end"/>
    </w:r>
    <w:r>
      <w:rPr>
        <w:rFonts w:ascii="Times New Roman" w:hAnsi="Times New Roman"/>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912"/>
    <w:rsid w:val="00021F46"/>
    <w:rsid w:val="00107C75"/>
    <w:rsid w:val="001B263A"/>
    <w:rsid w:val="0026200A"/>
    <w:rsid w:val="0036735E"/>
    <w:rsid w:val="004A4712"/>
    <w:rsid w:val="004D3518"/>
    <w:rsid w:val="005C62A3"/>
    <w:rsid w:val="00675CFB"/>
    <w:rsid w:val="00690F18"/>
    <w:rsid w:val="006A5B0A"/>
    <w:rsid w:val="006E1D28"/>
    <w:rsid w:val="007067A6"/>
    <w:rsid w:val="007E073D"/>
    <w:rsid w:val="00871B50"/>
    <w:rsid w:val="008778F9"/>
    <w:rsid w:val="008C222B"/>
    <w:rsid w:val="0098312B"/>
    <w:rsid w:val="009D2A89"/>
    <w:rsid w:val="00B0601C"/>
    <w:rsid w:val="00B1788F"/>
    <w:rsid w:val="00B4639C"/>
    <w:rsid w:val="00C36912"/>
    <w:rsid w:val="00CA440B"/>
    <w:rsid w:val="00DF5453"/>
    <w:rsid w:val="00EE1EFC"/>
    <w:rsid w:val="00F337B7"/>
    <w:rsid w:val="00F362CF"/>
    <w:rsid w:val="00FA5DD4"/>
    <w:rsid w:val="00FD5B14"/>
    <w:rsid w:val="257479E4"/>
    <w:rsid w:val="7260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qFormat/>
    <w:uiPriority w:val="0"/>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0"/>
    <w:rPr>
      <w:sz w:val="18"/>
      <w:szCs w:val="18"/>
    </w:rPr>
  </w:style>
  <w:style w:type="character" w:customStyle="1" w:styleId="9">
    <w:name w:val="标题 1 字符"/>
    <w:basedOn w:val="6"/>
    <w:link w:val="2"/>
    <w:uiPriority w:val="0"/>
    <w:rPr>
      <w:rFonts w:ascii="Calibri" w:hAnsi="Calibri" w:eastAsia="宋体" w:cs="Times New Roman"/>
      <w:b/>
      <w:bCs/>
      <w:kern w:val="44"/>
      <w:sz w:val="44"/>
      <w:szCs w:val="44"/>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1674</Words>
  <Characters>1749</Characters>
  <Lines>12</Lines>
  <Paragraphs>3</Paragraphs>
  <TotalTime>101</TotalTime>
  <ScaleCrop>false</ScaleCrop>
  <LinksUpToDate>false</LinksUpToDate>
  <CharactersWithSpaces>1757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2024-12-08T13:13:00Z</dcterms:created>
  <dc:creator>zhangjinhong</dc:creator>
  <cp:lastModifiedBy>111</cp:lastModifiedBy>
  <dcterms:modified xsi:type="dcterms:W3CDTF">2024-12-14T02:19:06Z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602AEFDDF6D5415299C77355A4A4CCB6_12</vt:lpwstr>
  </property>
</Properties>
</file>