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C578B" w14:textId="77777777" w:rsidR="008B1F96" w:rsidRDefault="00000000">
      <w:pPr>
        <w:spacing w:line="580" w:lineRule="exact"/>
        <w:outlineLvl w:val="1"/>
        <w:rPr>
          <w:rFonts w:eastAsia="仿宋_GB2312"/>
          <w:b/>
          <w:sz w:val="28"/>
          <w:szCs w:val="28"/>
        </w:rPr>
      </w:pPr>
      <w:r>
        <w:rPr>
          <w:rFonts w:eastAsia="仿宋_GB2312"/>
          <w:b/>
          <w:sz w:val="28"/>
          <w:szCs w:val="28"/>
        </w:rPr>
        <w:t>候选人基本情况：</w:t>
      </w:r>
    </w:p>
    <w:p w14:paraId="6C930A6A" w14:textId="77777777" w:rsidR="008B1F96" w:rsidRDefault="00000000">
      <w:pPr>
        <w:spacing w:line="580" w:lineRule="exact"/>
        <w:ind w:firstLineChars="200" w:firstLine="560"/>
        <w:outlineLvl w:val="1"/>
        <w:rPr>
          <w:rFonts w:ascii="仿宋_GB2312" w:eastAsia="仿宋_GB2312"/>
          <w:sz w:val="28"/>
          <w:szCs w:val="28"/>
        </w:rPr>
      </w:pPr>
      <w:r>
        <w:rPr>
          <w:rFonts w:ascii="仿宋_GB2312" w:eastAsia="仿宋_GB2312" w:hint="eastAsia"/>
          <w:sz w:val="28"/>
          <w:szCs w:val="28"/>
        </w:rPr>
        <w:t>彭墨，女，博士，河南罗山人，江西农业大学教授，美国爱达荷大学访问学者，江西省大宗淡水鱼营养与饲料岗位科学家。2014年博士毕业于中国海洋大学，同年因最大淡水湖--鄱阳湖结缘江西，入职江西农业大学，深根水产养殖教学科研工作十数年，研究方向为水产动物营养与健康养殖，先后主持国家自然科学基金项目3项（面上1项、地区1项、青年1项）、江西省“双千计划”培养类科技创新高端人才（青年）项目、江西省农业关键技术课题、国家自然科学</w:t>
      </w:r>
      <w:proofErr w:type="gramStart"/>
      <w:r>
        <w:rPr>
          <w:rFonts w:ascii="仿宋_GB2312" w:eastAsia="仿宋_GB2312" w:hint="eastAsia"/>
          <w:sz w:val="28"/>
          <w:szCs w:val="28"/>
        </w:rPr>
        <w:t>基金优青培育</w:t>
      </w:r>
      <w:proofErr w:type="gramEnd"/>
      <w:r>
        <w:rPr>
          <w:rFonts w:ascii="仿宋_GB2312" w:eastAsia="仿宋_GB2312" w:hint="eastAsia"/>
          <w:sz w:val="28"/>
          <w:szCs w:val="28"/>
        </w:rPr>
        <w:t>项目（自由探索类）、江西省青年科学基金重大项目、国家留学基金委面上项目、省博士后择优资助项目等省部级项目7项，参与省部级以上项目6项，入选江西农业大学未来之星项目。研究成果以第一或通讯作者共发表论文25篇，其中中科院二区及以上论文18篇， TOP期刊8篇，封面论文1篇，中文A类期刊3篇。此外，主持江西省高水平本科生教学团队，参编教材《Seaweed and microalgae as alternative sources of protein》和《标准化水产养殖技术》。并担任中国水产学会水产动物营养与饲料委员会副秘书长和江西省生态饲养学会副秘书长、全国水产名词委“水产动物营养与饲料”名词编写委员会委员、水产学报青年学术编委、Animal Feed Science and Technology(二区) 编委、及《Aquaculture》等多个国内外重要期刊的审稿专家。</w:t>
      </w:r>
    </w:p>
    <w:p w14:paraId="5A5EE293" w14:textId="77777777" w:rsidR="008B1F96" w:rsidRDefault="00000000">
      <w:pPr>
        <w:spacing w:line="560" w:lineRule="exact"/>
        <w:ind w:firstLineChars="200" w:firstLine="562"/>
        <w:outlineLvl w:val="1"/>
        <w:rPr>
          <w:rFonts w:eastAsia="仿宋_GB2312"/>
          <w:sz w:val="32"/>
          <w:szCs w:val="32"/>
        </w:rPr>
      </w:pPr>
      <w:r>
        <w:rPr>
          <w:rFonts w:eastAsia="仿宋_GB2312"/>
          <w:b/>
          <w:bCs/>
          <w:sz w:val="28"/>
          <w:szCs w:val="28"/>
        </w:rPr>
        <w:t>提名者：</w:t>
      </w:r>
      <w:r>
        <w:rPr>
          <w:rFonts w:eastAsia="仿宋_GB2312" w:hint="eastAsia"/>
          <w:sz w:val="32"/>
          <w:szCs w:val="32"/>
        </w:rPr>
        <w:t>艾</w:t>
      </w:r>
      <w:r>
        <w:rPr>
          <w:rFonts w:eastAsia="仿宋_GB2312"/>
          <w:sz w:val="32"/>
          <w:szCs w:val="32"/>
        </w:rPr>
        <w:t>庆辉教授，国家科技进步二等奖（</w:t>
      </w:r>
      <w:r>
        <w:rPr>
          <w:rFonts w:eastAsia="仿宋_GB2312"/>
          <w:sz w:val="32"/>
          <w:szCs w:val="32"/>
        </w:rPr>
        <w:t>2024</w:t>
      </w:r>
      <w:r>
        <w:rPr>
          <w:rFonts w:eastAsia="仿宋_GB2312"/>
          <w:sz w:val="32"/>
          <w:szCs w:val="32"/>
        </w:rPr>
        <w:t>年）获得者，中国海洋大学水产学院院长，水产养殖学专业，水产学学科</w:t>
      </w:r>
    </w:p>
    <w:p w14:paraId="0D8D1F82" w14:textId="77777777" w:rsidR="008B1F96" w:rsidRDefault="00000000">
      <w:pPr>
        <w:spacing w:line="560" w:lineRule="exact"/>
        <w:ind w:firstLineChars="200" w:firstLine="640"/>
        <w:outlineLvl w:val="1"/>
        <w:rPr>
          <w:rFonts w:eastAsia="仿宋_GB2312"/>
          <w:sz w:val="32"/>
          <w:szCs w:val="32"/>
        </w:rPr>
      </w:pPr>
      <w:r>
        <w:rPr>
          <w:rFonts w:eastAsia="仿宋_GB2312"/>
          <w:sz w:val="32"/>
          <w:szCs w:val="32"/>
        </w:rPr>
        <w:t>麦康森教授，中国工程院院士，中国海洋大学深圳研究</w:t>
      </w:r>
      <w:r>
        <w:rPr>
          <w:rFonts w:eastAsia="仿宋_GB2312"/>
          <w:sz w:val="32"/>
          <w:szCs w:val="32"/>
        </w:rPr>
        <w:lastRenderedPageBreak/>
        <w:t>院院长，水产养殖学专业，水产学学科</w:t>
      </w:r>
    </w:p>
    <w:p w14:paraId="2C487DC8" w14:textId="77777777" w:rsidR="008B1F96" w:rsidRDefault="008B1F96">
      <w:pPr>
        <w:spacing w:line="580" w:lineRule="exact"/>
        <w:outlineLvl w:val="1"/>
        <w:rPr>
          <w:rFonts w:eastAsia="仿宋_GB2312"/>
          <w:sz w:val="28"/>
          <w:szCs w:val="28"/>
        </w:rPr>
      </w:pPr>
    </w:p>
    <w:p w14:paraId="18E6CEA0" w14:textId="77777777" w:rsidR="008B1F96" w:rsidRDefault="00000000">
      <w:pPr>
        <w:spacing w:line="540" w:lineRule="exact"/>
        <w:rPr>
          <w:rFonts w:ascii="仿宋_GB2312" w:eastAsia="仿宋_GB2312"/>
          <w:b/>
          <w:bCs/>
          <w:sz w:val="30"/>
          <w:szCs w:val="30"/>
        </w:rPr>
      </w:pPr>
      <w:r>
        <w:rPr>
          <w:rFonts w:ascii="仿宋_GB2312" w:eastAsia="仿宋_GB2312" w:hint="eastAsia"/>
          <w:b/>
          <w:bCs/>
          <w:sz w:val="30"/>
          <w:szCs w:val="30"/>
        </w:rPr>
        <w:t>提名意见：</w:t>
      </w:r>
    </w:p>
    <w:p w14:paraId="69918BB1" w14:textId="77777777" w:rsidR="008B1F96" w:rsidRDefault="00000000">
      <w:pPr>
        <w:spacing w:line="540" w:lineRule="exact"/>
        <w:ind w:firstLineChars="200" w:firstLine="560"/>
        <w:rPr>
          <w:rFonts w:ascii="仿宋_GB2312" w:eastAsia="仿宋_GB2312"/>
          <w:sz w:val="28"/>
          <w:szCs w:val="28"/>
        </w:rPr>
      </w:pPr>
      <w:r>
        <w:rPr>
          <w:rFonts w:ascii="仿宋_GB2312" w:eastAsia="仿宋_GB2312" w:hint="eastAsia"/>
          <w:sz w:val="28"/>
          <w:szCs w:val="28"/>
        </w:rPr>
        <w:t>候选人面向世界水产领域脂肪沉积前沿，面对促进农民增产增收、满足人民美好生活和保障食物有效供给的需要，深入探究淡水鱼（黄鳝、草鱼和彭泽鲫）脂肪异常沉积的发生机制，并从肝肠轴等角度提出营养调控策略和“理想”脂肪酸谱的概念，构建了江西省代表性淡水养殖鱼类精准营养技术体系，有力推动了水产养殖业的绿色可持续发展。候选人先后主持省部级及以上项目 10项（其中国自</w:t>
      </w:r>
      <w:proofErr w:type="gramStart"/>
      <w:r>
        <w:rPr>
          <w:rFonts w:ascii="仿宋_GB2312" w:eastAsia="仿宋_GB2312" w:hint="eastAsia"/>
          <w:sz w:val="28"/>
          <w:szCs w:val="28"/>
        </w:rPr>
        <w:t>科基金</w:t>
      </w:r>
      <w:proofErr w:type="gramEnd"/>
      <w:r>
        <w:rPr>
          <w:rFonts w:ascii="仿宋_GB2312" w:eastAsia="仿宋_GB2312" w:hint="eastAsia"/>
          <w:sz w:val="28"/>
          <w:szCs w:val="28"/>
        </w:rPr>
        <w:t>项目4项），在以第一或通讯作者在SCI期刊（二区及以上）发表18篇论文，赢得了业界的广泛认可。</w:t>
      </w:r>
    </w:p>
    <w:p w14:paraId="2BEC1D5B" w14:textId="77777777" w:rsidR="008B1F96" w:rsidRDefault="008B1F96">
      <w:pPr>
        <w:spacing w:line="580" w:lineRule="exact"/>
        <w:outlineLvl w:val="1"/>
        <w:rPr>
          <w:sz w:val="28"/>
          <w:szCs w:val="28"/>
        </w:rPr>
      </w:pPr>
    </w:p>
    <w:p w14:paraId="5FAB96DD" w14:textId="77777777" w:rsidR="008B1F96" w:rsidRDefault="00000000">
      <w:pPr>
        <w:spacing w:line="580" w:lineRule="exact"/>
        <w:outlineLvl w:val="1"/>
        <w:rPr>
          <w:rFonts w:eastAsia="仿宋_GB2312"/>
          <w:b/>
          <w:sz w:val="28"/>
          <w:szCs w:val="28"/>
        </w:rPr>
      </w:pPr>
      <w:r>
        <w:rPr>
          <w:rFonts w:eastAsia="仿宋_GB2312"/>
          <w:b/>
          <w:sz w:val="28"/>
          <w:szCs w:val="28"/>
        </w:rPr>
        <w:t>候选人的主要科学成就与贡献</w:t>
      </w:r>
      <w:r>
        <w:rPr>
          <w:rFonts w:eastAsia="仿宋_GB2312" w:hint="eastAsia"/>
          <w:b/>
          <w:sz w:val="28"/>
          <w:szCs w:val="28"/>
        </w:rPr>
        <w:t>:</w:t>
      </w:r>
    </w:p>
    <w:p w14:paraId="7B263BEA"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1、基础理论研究：针对鱼油和鱼粉被替代对水产动物生长和脂肪沉积影响机制不清晰的问题，</w:t>
      </w:r>
      <w:proofErr w:type="gramStart"/>
      <w:r>
        <w:rPr>
          <w:rFonts w:ascii="仿宋_GB2312" w:eastAsia="仿宋_GB2312" w:hint="eastAsia"/>
          <w:b/>
          <w:sz w:val="28"/>
          <w:szCs w:val="28"/>
        </w:rPr>
        <w:t>从肠肝轴</w:t>
      </w:r>
      <w:proofErr w:type="gramEnd"/>
      <w:r>
        <w:rPr>
          <w:rFonts w:ascii="仿宋_GB2312" w:eastAsia="仿宋_GB2312" w:hint="eastAsia"/>
          <w:b/>
          <w:sz w:val="28"/>
          <w:szCs w:val="28"/>
        </w:rPr>
        <w:t>和关键调控通路角度揭示其作用机制；建立了我省特色淡水鱼类饲料鱼粉和鱼油替代的精准营养数据库，一定程度上填补了行业研究的空白。同时，为鱼类“理想”脂肪酸谱这一新概念奠定了重要理论基础。</w:t>
      </w:r>
    </w:p>
    <w:p w14:paraId="095F8114"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系统比较了摄食棕榈油、亚麻籽油、大豆油和</w:t>
      </w:r>
      <w:proofErr w:type="gramStart"/>
      <w:r>
        <w:rPr>
          <w:rFonts w:ascii="仿宋_GB2312" w:eastAsia="仿宋_GB2312" w:hint="eastAsia"/>
          <w:sz w:val="28"/>
          <w:szCs w:val="28"/>
        </w:rPr>
        <w:t>菜籽油</w:t>
      </w:r>
      <w:proofErr w:type="gramEnd"/>
      <w:r>
        <w:rPr>
          <w:rFonts w:ascii="仿宋_GB2312" w:eastAsia="仿宋_GB2312" w:hint="eastAsia"/>
          <w:sz w:val="28"/>
          <w:szCs w:val="28"/>
        </w:rPr>
        <w:t>等不同植物油替代鱼油对养殖鱼类的影响，揭示了摄食不同植物油草鱼脂肪代谢的特点。发现摄食植物油日</w:t>
      </w:r>
      <w:proofErr w:type="gramStart"/>
      <w:r>
        <w:rPr>
          <w:rFonts w:ascii="仿宋_GB2312" w:eastAsia="仿宋_GB2312" w:hint="eastAsia"/>
          <w:sz w:val="28"/>
          <w:szCs w:val="28"/>
        </w:rPr>
        <w:t>粮降低</w:t>
      </w:r>
      <w:proofErr w:type="gramEnd"/>
      <w:r>
        <w:rPr>
          <w:rFonts w:ascii="仿宋_GB2312" w:eastAsia="仿宋_GB2312" w:hint="eastAsia"/>
          <w:sz w:val="28"/>
          <w:szCs w:val="28"/>
        </w:rPr>
        <w:t>肌肉EPA和DHA含量，摄食过量棕榈油和大豆油会加剧肝脏脂肪沉积，相对于棕榈油、亚麻籽油和大豆油，</w:t>
      </w:r>
      <w:proofErr w:type="gramStart"/>
      <w:r>
        <w:rPr>
          <w:rFonts w:ascii="仿宋_GB2312" w:eastAsia="仿宋_GB2312" w:hint="eastAsia"/>
          <w:sz w:val="28"/>
          <w:szCs w:val="28"/>
        </w:rPr>
        <w:t>菜籽油</w:t>
      </w:r>
      <w:proofErr w:type="gramEnd"/>
      <w:r>
        <w:rPr>
          <w:rFonts w:ascii="仿宋_GB2312" w:eastAsia="仿宋_GB2312" w:hint="eastAsia"/>
          <w:sz w:val="28"/>
          <w:szCs w:val="28"/>
        </w:rPr>
        <w:t>可能是草鱼的合适鱼油替代油源（Aquaculture Nutrition, 2020）。证实高氧化鱼油通过影响黄鳝肠道菌群组成与物种间相互作用而诱导菌群功能失调，引起菌群的脂肪酸合成代谢功能被抑制的机制（Aquaculture, 2019）；并通过抑制AMPK-ACC-CPT1和AMPK-LIPIN-</w:t>
      </w:r>
      <w:r>
        <w:rPr>
          <w:rFonts w:ascii="仿宋_GB2312" w:eastAsia="仿宋_GB2312" w:hint="eastAsia"/>
          <w:sz w:val="28"/>
          <w:szCs w:val="28"/>
        </w:rPr>
        <w:lastRenderedPageBreak/>
        <w:t>PPARα-CPT1通路降低黄鳝的脂肪分解代谢，引起脂肪过多沉积（Aquaculture nutrition，2023），该部分研究成果在第十二届世界华人鱼虾营养大会（2019，郑州）和Aquaculture America 2020（2020，夏威夷）会议上作了相关学术报告，获得一致好评。这些研究建立了替代鱼油的适宜比例数据库，为“理想”脂肪酸谱这一新概念奠定了重要理论基础。</w:t>
      </w:r>
    </w:p>
    <w:p w14:paraId="606E4A1C"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发现草鱼肠道菌群组成与功能受肠道生理内环境影响，具脂肪酸代谢功能的肠道菌群主要分布在前、中肠部位（Aquaculture, 2019）。</w:t>
      </w:r>
      <w:proofErr w:type="gramStart"/>
      <w:r>
        <w:rPr>
          <w:rFonts w:ascii="仿宋_GB2312" w:eastAsia="仿宋_GB2312" w:hint="eastAsia"/>
          <w:sz w:val="28"/>
          <w:szCs w:val="28"/>
        </w:rPr>
        <w:t>证实高豆粕</w:t>
      </w:r>
      <w:proofErr w:type="gramEnd"/>
      <w:r>
        <w:rPr>
          <w:rFonts w:ascii="仿宋_GB2312" w:eastAsia="仿宋_GB2312" w:hint="eastAsia"/>
          <w:sz w:val="28"/>
          <w:szCs w:val="28"/>
        </w:rPr>
        <w:t>日粮可诱发彭泽鲫和草鱼肠道菌群失衡，造成细菌的脂肪代谢功能紊乱（Frontiers in Nutrition, 2022；Metabolites, 2022）。发现高</w:t>
      </w:r>
      <w:proofErr w:type="gramStart"/>
      <w:r>
        <w:rPr>
          <w:rFonts w:ascii="仿宋_GB2312" w:eastAsia="仿宋_GB2312" w:hint="eastAsia"/>
          <w:sz w:val="28"/>
          <w:szCs w:val="28"/>
        </w:rPr>
        <w:t>脂日粮通过</w:t>
      </w:r>
      <w:proofErr w:type="gramEnd"/>
      <w:r>
        <w:rPr>
          <w:rFonts w:ascii="仿宋_GB2312" w:eastAsia="仿宋_GB2312" w:hint="eastAsia"/>
          <w:sz w:val="28"/>
          <w:szCs w:val="28"/>
        </w:rPr>
        <w:t>上调脂肪合成造成草鱼肝脏脂肪异常沉积，并下调肝脏mir基因表达（Comparative Biochemistry and Physiology, Part B, 2019）；</w:t>
      </w:r>
      <w:proofErr w:type="gramStart"/>
      <w:r>
        <w:rPr>
          <w:rFonts w:ascii="仿宋_GB2312" w:eastAsia="仿宋_GB2312" w:hint="eastAsia"/>
          <w:sz w:val="28"/>
          <w:szCs w:val="28"/>
        </w:rPr>
        <w:t>高脂日粮</w:t>
      </w:r>
      <w:proofErr w:type="gramEnd"/>
      <w:r>
        <w:rPr>
          <w:rFonts w:ascii="仿宋_GB2312" w:eastAsia="仿宋_GB2312" w:hint="eastAsia"/>
          <w:sz w:val="28"/>
          <w:szCs w:val="28"/>
        </w:rPr>
        <w:t>还可诱导肠道菌群功能紊乱，造成菌群的甘油三酯代谢功能异常活跃，导致黄鳝血脂异常和代谢障碍（Aquaculture, 2019）。</w:t>
      </w:r>
    </w:p>
    <w:p w14:paraId="021DF98E"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2、应用基础研究：在上述理论机制基础上，减量使用鱼粉和鱼油，开发了缓解鱼类脂肪异常沉积和肠道功能失调的营养调控策略。</w:t>
      </w:r>
    </w:p>
    <w:p w14:paraId="4DC44538"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2.1鱼类适宜脂肪源配比</w:t>
      </w:r>
    </w:p>
    <w:p w14:paraId="0E804369"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采用昆虫油和多种植物油复配出与鱼油脂肪酸谱相似的“理想”脂肪酸谱混合油，并发现其在虹鳟的应用生长效果优于全鱼油组，且肝脏脂肪含量显著下降（Aquaculture, 2021）。</w:t>
      </w:r>
    </w:p>
    <w:p w14:paraId="23419FB0"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2.2筛选出可改善鱼类糖脂代谢及健康的功能性添加剂，提出了缓解脂肪异常沉积和肠道菌群失调的营养学策略</w:t>
      </w:r>
    </w:p>
    <w:p w14:paraId="11A55766"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发现高豆</w:t>
      </w:r>
      <w:proofErr w:type="gramStart"/>
      <w:r>
        <w:rPr>
          <w:rFonts w:ascii="仿宋_GB2312" w:eastAsia="仿宋_GB2312" w:hint="eastAsia"/>
          <w:sz w:val="28"/>
          <w:szCs w:val="28"/>
        </w:rPr>
        <w:t>粕</w:t>
      </w:r>
      <w:proofErr w:type="gramEnd"/>
      <w:r>
        <w:rPr>
          <w:rFonts w:ascii="仿宋_GB2312" w:eastAsia="仿宋_GB2312" w:hint="eastAsia"/>
          <w:sz w:val="28"/>
          <w:szCs w:val="28"/>
        </w:rPr>
        <w:t>饲料添加植物提取物大黄素可通过改善肠道</w:t>
      </w:r>
      <w:proofErr w:type="gramStart"/>
      <w:r>
        <w:rPr>
          <w:rFonts w:ascii="仿宋_GB2312" w:eastAsia="仿宋_GB2312" w:hint="eastAsia"/>
          <w:sz w:val="28"/>
          <w:szCs w:val="28"/>
        </w:rPr>
        <w:t>健康提高</w:t>
      </w:r>
      <w:proofErr w:type="gramEnd"/>
      <w:r>
        <w:rPr>
          <w:rFonts w:ascii="仿宋_GB2312" w:eastAsia="仿宋_GB2312" w:hint="eastAsia"/>
          <w:sz w:val="28"/>
          <w:szCs w:val="28"/>
        </w:rPr>
        <w:t>胆汁酸的肝肠循环，进而显著提高彭泽</w:t>
      </w:r>
      <w:proofErr w:type="gramStart"/>
      <w:r>
        <w:rPr>
          <w:rFonts w:ascii="仿宋_GB2312" w:eastAsia="仿宋_GB2312" w:hint="eastAsia"/>
          <w:sz w:val="28"/>
          <w:szCs w:val="28"/>
        </w:rPr>
        <w:t>鲫</w:t>
      </w:r>
      <w:proofErr w:type="gramEnd"/>
      <w:r>
        <w:rPr>
          <w:rFonts w:ascii="仿宋_GB2312" w:eastAsia="仿宋_GB2312" w:hint="eastAsia"/>
          <w:sz w:val="28"/>
          <w:szCs w:val="28"/>
        </w:rPr>
        <w:t>机体胆汁酸水平，同时显著降低血脂和机体粗脂肪含量（Aquaculture Nutrition, 2020. 入选期刊封面）；而添加苹果多酚通过增强抗氧化力、抑制炎症反应、</w:t>
      </w:r>
      <w:r>
        <w:rPr>
          <w:rFonts w:ascii="仿宋_GB2312" w:eastAsia="仿宋_GB2312" w:hint="eastAsia"/>
          <w:sz w:val="28"/>
          <w:szCs w:val="28"/>
        </w:rPr>
        <w:lastRenderedPageBreak/>
        <w:t>提高肠道屏障功能</w:t>
      </w:r>
      <w:proofErr w:type="gramStart"/>
      <w:r>
        <w:rPr>
          <w:rFonts w:ascii="仿宋_GB2312" w:eastAsia="仿宋_GB2312" w:hint="eastAsia"/>
          <w:sz w:val="28"/>
          <w:szCs w:val="28"/>
        </w:rPr>
        <w:t>科改善</w:t>
      </w:r>
      <w:proofErr w:type="gramEnd"/>
      <w:r>
        <w:rPr>
          <w:rFonts w:ascii="仿宋_GB2312" w:eastAsia="仿宋_GB2312" w:hint="eastAsia"/>
          <w:sz w:val="28"/>
          <w:szCs w:val="28"/>
        </w:rPr>
        <w:t>草鱼肠道健康，起到很好的降血脂的效果（Aquaculture, 2021）；牛磺酸可</w:t>
      </w:r>
      <w:proofErr w:type="gramStart"/>
      <w:r>
        <w:rPr>
          <w:rFonts w:ascii="仿宋_GB2312" w:eastAsia="仿宋_GB2312" w:hint="eastAsia"/>
          <w:sz w:val="28"/>
          <w:szCs w:val="28"/>
        </w:rPr>
        <w:t>缓解高豆粕</w:t>
      </w:r>
      <w:proofErr w:type="gramEnd"/>
      <w:r>
        <w:rPr>
          <w:rFonts w:ascii="仿宋_GB2312" w:eastAsia="仿宋_GB2312" w:hint="eastAsia"/>
          <w:sz w:val="28"/>
          <w:szCs w:val="28"/>
        </w:rPr>
        <w:t>引起的氧化应激，并增强黄鳝肝脏抗胁迫能力，同时也可降低鱼体脂肪含量（Aquaculture Research, 2018）；高豆</w:t>
      </w:r>
      <w:proofErr w:type="gramStart"/>
      <w:r>
        <w:rPr>
          <w:rFonts w:ascii="仿宋_GB2312" w:eastAsia="仿宋_GB2312" w:hint="eastAsia"/>
          <w:sz w:val="28"/>
          <w:szCs w:val="28"/>
        </w:rPr>
        <w:t>粕</w:t>
      </w:r>
      <w:proofErr w:type="gramEnd"/>
      <w:r>
        <w:rPr>
          <w:rFonts w:ascii="仿宋_GB2312" w:eastAsia="仿宋_GB2312" w:hint="eastAsia"/>
          <w:sz w:val="28"/>
          <w:szCs w:val="28"/>
        </w:rPr>
        <w:t>添加胆汁酸可显著降低黄鳝</w:t>
      </w:r>
      <w:proofErr w:type="gramStart"/>
      <w:r>
        <w:rPr>
          <w:rFonts w:ascii="仿宋_GB2312" w:eastAsia="仿宋_GB2312" w:hint="eastAsia"/>
          <w:sz w:val="28"/>
          <w:szCs w:val="28"/>
        </w:rPr>
        <w:t>肠道邻单胞</w:t>
      </w:r>
      <w:proofErr w:type="gramEnd"/>
      <w:r>
        <w:rPr>
          <w:rFonts w:ascii="仿宋_GB2312" w:eastAsia="仿宋_GB2312" w:hint="eastAsia"/>
          <w:sz w:val="28"/>
          <w:szCs w:val="28"/>
        </w:rPr>
        <w:t>菌属（属条件致病菌）细菌的丰度，并大幅提高乳杆菌的含量（未发表）。</w:t>
      </w:r>
      <w:proofErr w:type="gramStart"/>
      <w:r>
        <w:rPr>
          <w:rFonts w:ascii="仿宋_GB2312" w:eastAsia="仿宋_GB2312" w:hint="eastAsia"/>
          <w:sz w:val="28"/>
          <w:szCs w:val="28"/>
        </w:rPr>
        <w:t>证实高脂日</w:t>
      </w:r>
      <w:proofErr w:type="gramEnd"/>
      <w:r>
        <w:rPr>
          <w:rFonts w:ascii="仿宋_GB2312" w:eastAsia="仿宋_GB2312" w:hint="eastAsia"/>
          <w:sz w:val="28"/>
          <w:szCs w:val="28"/>
        </w:rPr>
        <w:t xml:space="preserve">粮中添加外源胆汁酸盐可提高黄鳝的生长性能，降低鱼体脂肪沉积，并通过调控氧化应激、免疫反应、物理屏障、肠道完整性来提高肠道健康（Aquaculture </w:t>
      </w:r>
      <w:proofErr w:type="spellStart"/>
      <w:r>
        <w:rPr>
          <w:rFonts w:ascii="仿宋_GB2312" w:eastAsia="仿宋_GB2312" w:hint="eastAsia"/>
          <w:sz w:val="28"/>
          <w:szCs w:val="28"/>
        </w:rPr>
        <w:t>Nutritio</w:t>
      </w:r>
      <w:proofErr w:type="spellEnd"/>
      <w:r>
        <w:rPr>
          <w:rFonts w:ascii="仿宋_GB2312" w:eastAsia="仿宋_GB2312" w:hint="eastAsia"/>
          <w:sz w:val="28"/>
          <w:szCs w:val="28"/>
        </w:rPr>
        <w:t>, 2023）。发现高氧化鱼油饲料中添加牛磺酸可恢复肠道菌群结构及功能（Aquaculture, 2019），并通过诱导AMPK基因表达上调黄鳝肝脏脂肪分解进程（Aquaculture Nutrition，2023）；而苹果多酚可显著上调黄鳝肝脏AMPK基因表达，有效缓解高氧化鱼油引起的脂肪分解障碍，进而</w:t>
      </w:r>
      <w:proofErr w:type="gramStart"/>
      <w:r>
        <w:rPr>
          <w:rFonts w:ascii="仿宋_GB2312" w:eastAsia="仿宋_GB2312" w:hint="eastAsia"/>
          <w:sz w:val="28"/>
          <w:szCs w:val="28"/>
        </w:rPr>
        <w:t>减少肝脂异常</w:t>
      </w:r>
      <w:proofErr w:type="gramEnd"/>
      <w:r>
        <w:rPr>
          <w:rFonts w:ascii="仿宋_GB2312" w:eastAsia="仿宋_GB2312" w:hint="eastAsia"/>
          <w:sz w:val="28"/>
          <w:szCs w:val="28"/>
        </w:rPr>
        <w:t>沉积（Aquaculture Nutrition，2023）。而在正常营养条件下，大黄素、β-葡聚糖、菊粉、苹果多酚、牛磺酸可改善彭泽</w:t>
      </w:r>
      <w:proofErr w:type="gramStart"/>
      <w:r>
        <w:rPr>
          <w:rFonts w:ascii="仿宋_GB2312" w:eastAsia="仿宋_GB2312" w:hint="eastAsia"/>
          <w:sz w:val="28"/>
          <w:szCs w:val="28"/>
        </w:rPr>
        <w:t>鲫</w:t>
      </w:r>
      <w:proofErr w:type="gramEnd"/>
      <w:r>
        <w:rPr>
          <w:rFonts w:ascii="仿宋_GB2312" w:eastAsia="仿宋_GB2312" w:hint="eastAsia"/>
          <w:sz w:val="28"/>
          <w:szCs w:val="28"/>
        </w:rPr>
        <w:t>肠道健康，并显著降低血脂和胆固醇含量（Aquaculture, 2021；Animal Feed Science and Technology, 2021；Frontiers in Immunology, 2023）。</w:t>
      </w:r>
    </w:p>
    <w:p w14:paraId="617CC863"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3、成果集成应用推广，开发草鱼和</w:t>
      </w:r>
      <w:proofErr w:type="gramStart"/>
      <w:r>
        <w:rPr>
          <w:rFonts w:ascii="仿宋_GB2312" w:eastAsia="仿宋_GB2312" w:hint="eastAsia"/>
          <w:b/>
          <w:sz w:val="28"/>
          <w:szCs w:val="28"/>
        </w:rPr>
        <w:t>鳙高效</w:t>
      </w:r>
      <w:proofErr w:type="gramEnd"/>
      <w:r>
        <w:rPr>
          <w:rFonts w:ascii="仿宋_GB2312" w:eastAsia="仿宋_GB2312" w:hint="eastAsia"/>
          <w:b/>
          <w:sz w:val="28"/>
          <w:szCs w:val="28"/>
        </w:rPr>
        <w:t>养殖技术</w:t>
      </w:r>
    </w:p>
    <w:p w14:paraId="02BD64E0"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3.1开展草鱼精准营养研究和低豆</w:t>
      </w:r>
      <w:proofErr w:type="gramStart"/>
      <w:r>
        <w:rPr>
          <w:rFonts w:ascii="仿宋_GB2312" w:eastAsia="仿宋_GB2312" w:hint="eastAsia"/>
          <w:b/>
          <w:sz w:val="28"/>
          <w:szCs w:val="28"/>
        </w:rPr>
        <w:t>粕</w:t>
      </w:r>
      <w:proofErr w:type="gramEnd"/>
      <w:r>
        <w:rPr>
          <w:rFonts w:ascii="仿宋_GB2312" w:eastAsia="仿宋_GB2312" w:hint="eastAsia"/>
          <w:b/>
          <w:sz w:val="28"/>
          <w:szCs w:val="28"/>
        </w:rPr>
        <w:t>环保饲料配制技术的研制</w:t>
      </w:r>
    </w:p>
    <w:p w14:paraId="6698EF22"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针对草鱼养殖中存在配合饲料利用效率不高、缺乏精准投喂方法、鱼肉品质降低等突出问题，牵头组织我省营养学专家学者首次系统地总结了我省草鱼产业营养与饲料方向存在的问题，并提出了可行的解决方案；确定了成鱼期草鱼、鱼种期草鱼和鱼苗期草鱼基础配方主要营养需求量参数，首次构建了具有我省特色和知识产权的草鱼精准营养数据库；获得草鱼对豆</w:t>
      </w:r>
      <w:proofErr w:type="gramStart"/>
      <w:r>
        <w:rPr>
          <w:rFonts w:ascii="仿宋_GB2312" w:eastAsia="仿宋_GB2312" w:hint="eastAsia"/>
          <w:sz w:val="28"/>
          <w:szCs w:val="28"/>
        </w:rPr>
        <w:t>粕</w:t>
      </w:r>
      <w:proofErr w:type="gramEnd"/>
      <w:r>
        <w:rPr>
          <w:rFonts w:ascii="仿宋_GB2312" w:eastAsia="仿宋_GB2312" w:hint="eastAsia"/>
          <w:sz w:val="28"/>
          <w:szCs w:val="28"/>
        </w:rPr>
        <w:t>等12种饲料原料的利用率数据，进而建立了我省首个草鱼商业饲料配方常用饲料原料利用的精准数据库。同时，与知名饲料企业-澳华集团合作，研制符合我省草鱼产业需求的草鱼商业基础配方饲料，该新研制草鱼饲料在我省4家水产养殖企业</w:t>
      </w:r>
      <w:r>
        <w:rPr>
          <w:rFonts w:ascii="仿宋_GB2312" w:eastAsia="仿宋_GB2312" w:hint="eastAsia"/>
          <w:sz w:val="28"/>
          <w:szCs w:val="28"/>
        </w:rPr>
        <w:lastRenderedPageBreak/>
        <w:t>（万年县港渔养殖有限公司、都昌县同</w:t>
      </w:r>
      <w:proofErr w:type="gramStart"/>
      <w:r>
        <w:rPr>
          <w:rFonts w:ascii="仿宋_GB2312" w:eastAsia="仿宋_GB2312" w:hint="eastAsia"/>
          <w:sz w:val="28"/>
          <w:szCs w:val="28"/>
        </w:rPr>
        <w:t>商农业</w:t>
      </w:r>
      <w:proofErr w:type="gramEnd"/>
      <w:r>
        <w:rPr>
          <w:rFonts w:ascii="仿宋_GB2312" w:eastAsia="仿宋_GB2312" w:hint="eastAsia"/>
          <w:sz w:val="28"/>
          <w:szCs w:val="28"/>
        </w:rPr>
        <w:t>开发有限公司、遂川县</w:t>
      </w:r>
      <w:proofErr w:type="gramStart"/>
      <w:r>
        <w:rPr>
          <w:rFonts w:ascii="仿宋_GB2312" w:eastAsia="仿宋_GB2312" w:hint="eastAsia"/>
          <w:sz w:val="28"/>
          <w:szCs w:val="28"/>
        </w:rPr>
        <w:t>宇坤子业</w:t>
      </w:r>
      <w:proofErr w:type="gramEnd"/>
      <w:r>
        <w:rPr>
          <w:rFonts w:ascii="仿宋_GB2312" w:eastAsia="仿宋_GB2312" w:hint="eastAsia"/>
          <w:sz w:val="28"/>
          <w:szCs w:val="28"/>
        </w:rPr>
        <w:t>生态农业有限公司、江西聚龙湾生物科技有限公司）示范推广面积88亩，而4家企业辐射养殖面积近2200亩；借助澳华集团的销售网络，2023-2024年在我省南昌县、樟树、新余、永修等地7家草鱼养殖户推广应用120亩，新研制草鱼饲料</w:t>
      </w:r>
      <w:proofErr w:type="gramStart"/>
      <w:r>
        <w:rPr>
          <w:rFonts w:ascii="仿宋_GB2312" w:eastAsia="仿宋_GB2312" w:hint="eastAsia"/>
          <w:sz w:val="28"/>
          <w:szCs w:val="28"/>
        </w:rPr>
        <w:t>吨产至少</w:t>
      </w:r>
      <w:proofErr w:type="gramEnd"/>
      <w:r>
        <w:rPr>
          <w:rFonts w:ascii="仿宋_GB2312" w:eastAsia="仿宋_GB2312" w:hint="eastAsia"/>
          <w:sz w:val="28"/>
          <w:szCs w:val="28"/>
        </w:rPr>
        <w:t>1293斤，饲料系数1.55（远超过了渔户的预期饲料系数2.0），增产效果显著。草鱼新研制饲料在我省累计推广8县市11家养殖单位208亩，辐射草鱼养殖面积2200亩。</w:t>
      </w:r>
    </w:p>
    <w:p w14:paraId="22DABDCF"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同时，为了响应“豆</w:t>
      </w:r>
      <w:proofErr w:type="gramStart"/>
      <w:r>
        <w:rPr>
          <w:rFonts w:ascii="仿宋_GB2312" w:eastAsia="仿宋_GB2312" w:hint="eastAsia"/>
          <w:sz w:val="28"/>
          <w:szCs w:val="28"/>
        </w:rPr>
        <w:t>粕</w:t>
      </w:r>
      <w:proofErr w:type="gramEnd"/>
      <w:r>
        <w:rPr>
          <w:rFonts w:ascii="仿宋_GB2312" w:eastAsia="仿宋_GB2312" w:hint="eastAsia"/>
          <w:sz w:val="28"/>
          <w:szCs w:val="28"/>
        </w:rPr>
        <w:t>减量”的国家政策要求，开展</w:t>
      </w:r>
      <w:proofErr w:type="gramStart"/>
      <w:r>
        <w:rPr>
          <w:rFonts w:ascii="仿宋_GB2312" w:eastAsia="仿宋_GB2312" w:hint="eastAsia"/>
          <w:sz w:val="28"/>
          <w:szCs w:val="28"/>
        </w:rPr>
        <w:t>了草鱼低豆粕</w:t>
      </w:r>
      <w:proofErr w:type="gramEnd"/>
      <w:r>
        <w:rPr>
          <w:rFonts w:ascii="仿宋_GB2312" w:eastAsia="仿宋_GB2312" w:hint="eastAsia"/>
          <w:sz w:val="28"/>
          <w:szCs w:val="28"/>
        </w:rPr>
        <w:t>环保饲料配制技术的研制。草鱼饲料配方中豆</w:t>
      </w:r>
      <w:proofErr w:type="gramStart"/>
      <w:r>
        <w:rPr>
          <w:rFonts w:ascii="仿宋_GB2312" w:eastAsia="仿宋_GB2312" w:hint="eastAsia"/>
          <w:sz w:val="28"/>
          <w:szCs w:val="28"/>
        </w:rPr>
        <w:t>粕</w:t>
      </w:r>
      <w:proofErr w:type="gramEnd"/>
      <w:r>
        <w:rPr>
          <w:rFonts w:ascii="仿宋_GB2312" w:eastAsia="仿宋_GB2312" w:hint="eastAsia"/>
          <w:sz w:val="28"/>
          <w:szCs w:val="28"/>
        </w:rPr>
        <w:t>含量从25%降低到20%，实现减少豆</w:t>
      </w:r>
      <w:proofErr w:type="gramStart"/>
      <w:r>
        <w:rPr>
          <w:rFonts w:ascii="仿宋_GB2312" w:eastAsia="仿宋_GB2312" w:hint="eastAsia"/>
          <w:sz w:val="28"/>
          <w:szCs w:val="28"/>
        </w:rPr>
        <w:t>粕</w:t>
      </w:r>
      <w:proofErr w:type="gramEnd"/>
      <w:r>
        <w:rPr>
          <w:rFonts w:ascii="仿宋_GB2312" w:eastAsia="仿宋_GB2312" w:hint="eastAsia"/>
          <w:sz w:val="28"/>
          <w:szCs w:val="28"/>
        </w:rPr>
        <w:t>总量20%的初步目标。在此基础上，通过科学设定不同营养调控策略，构建 “低豆</w:t>
      </w:r>
      <w:proofErr w:type="gramStart"/>
      <w:r>
        <w:rPr>
          <w:rFonts w:ascii="仿宋_GB2312" w:eastAsia="仿宋_GB2312" w:hint="eastAsia"/>
          <w:sz w:val="28"/>
          <w:szCs w:val="28"/>
        </w:rPr>
        <w:t>粕</w:t>
      </w:r>
      <w:proofErr w:type="gramEnd"/>
      <w:r>
        <w:rPr>
          <w:rFonts w:ascii="仿宋_GB2312" w:eastAsia="仿宋_GB2312" w:hint="eastAsia"/>
          <w:sz w:val="28"/>
          <w:szCs w:val="28"/>
        </w:rPr>
        <w:t>环保高效饲料技术”。研究发现：低豆</w:t>
      </w:r>
      <w:proofErr w:type="gramStart"/>
      <w:r>
        <w:rPr>
          <w:rFonts w:ascii="仿宋_GB2312" w:eastAsia="仿宋_GB2312" w:hint="eastAsia"/>
          <w:sz w:val="28"/>
          <w:szCs w:val="28"/>
        </w:rPr>
        <w:t>粕</w:t>
      </w:r>
      <w:proofErr w:type="gramEnd"/>
      <w:r>
        <w:rPr>
          <w:rFonts w:ascii="仿宋_GB2312" w:eastAsia="仿宋_GB2312" w:hint="eastAsia"/>
          <w:sz w:val="28"/>
          <w:szCs w:val="28"/>
        </w:rPr>
        <w:t>+高脂饲料可使草鱼的饲料系数FCR从1.76降到1.56，再添加VD</w:t>
      </w:r>
      <w:r>
        <w:rPr>
          <w:rFonts w:ascii="仿宋_GB2312" w:eastAsia="仿宋_GB2312" w:hint="eastAsia"/>
          <w:sz w:val="28"/>
          <w:szCs w:val="28"/>
          <w:vertAlign w:val="subscript"/>
        </w:rPr>
        <w:t>3</w:t>
      </w:r>
      <w:r>
        <w:rPr>
          <w:rFonts w:ascii="仿宋_GB2312" w:eastAsia="仿宋_GB2312" w:hint="eastAsia"/>
          <w:sz w:val="28"/>
          <w:szCs w:val="28"/>
        </w:rPr>
        <w:t>，FCR进一步降到1.31；而添加胆汁酸后FCR可降到1.48。低豆</w:t>
      </w:r>
      <w:proofErr w:type="gramStart"/>
      <w:r>
        <w:rPr>
          <w:rFonts w:ascii="仿宋_GB2312" w:eastAsia="仿宋_GB2312" w:hint="eastAsia"/>
          <w:sz w:val="28"/>
          <w:szCs w:val="28"/>
        </w:rPr>
        <w:t>粕</w:t>
      </w:r>
      <w:proofErr w:type="gramEnd"/>
      <w:r>
        <w:rPr>
          <w:rFonts w:ascii="仿宋_GB2312" w:eastAsia="仿宋_GB2312" w:hint="eastAsia"/>
          <w:sz w:val="28"/>
          <w:szCs w:val="28"/>
        </w:rPr>
        <w:t>+高档植物蛋白饲料可使草鱼的FCR从1.76降到1.55，减少了11.9%；该饲料中再添加胆汁酸后FCR为1.63，而增重率增加了19.1%。</w:t>
      </w:r>
    </w:p>
    <w:p w14:paraId="17A352B1"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3.2开展了新品种</w:t>
      </w:r>
      <w:proofErr w:type="gramStart"/>
      <w:r>
        <w:rPr>
          <w:rFonts w:ascii="仿宋_GB2312" w:eastAsia="仿宋_GB2312" w:hint="eastAsia"/>
          <w:b/>
          <w:sz w:val="28"/>
          <w:szCs w:val="28"/>
        </w:rPr>
        <w:t>鳙引进</w:t>
      </w:r>
      <w:proofErr w:type="gramEnd"/>
      <w:r>
        <w:rPr>
          <w:rFonts w:ascii="仿宋_GB2312" w:eastAsia="仿宋_GB2312" w:hint="eastAsia"/>
          <w:b/>
          <w:sz w:val="28"/>
          <w:szCs w:val="28"/>
        </w:rPr>
        <w:t>推广、</w:t>
      </w:r>
      <w:proofErr w:type="gramStart"/>
      <w:r>
        <w:rPr>
          <w:rFonts w:ascii="仿宋_GB2312" w:eastAsia="仿宋_GB2312" w:hint="eastAsia"/>
          <w:b/>
          <w:sz w:val="28"/>
          <w:szCs w:val="28"/>
        </w:rPr>
        <w:t>鳙基础</w:t>
      </w:r>
      <w:proofErr w:type="gramEnd"/>
      <w:r>
        <w:rPr>
          <w:rFonts w:ascii="仿宋_GB2312" w:eastAsia="仿宋_GB2312" w:hint="eastAsia"/>
          <w:b/>
          <w:sz w:val="28"/>
          <w:szCs w:val="28"/>
        </w:rPr>
        <w:t>营养研究和</w:t>
      </w:r>
      <w:proofErr w:type="gramStart"/>
      <w:r>
        <w:rPr>
          <w:rFonts w:ascii="仿宋_GB2312" w:eastAsia="仿宋_GB2312" w:hint="eastAsia"/>
          <w:b/>
          <w:sz w:val="28"/>
          <w:szCs w:val="28"/>
        </w:rPr>
        <w:t>鳙蚌</w:t>
      </w:r>
      <w:proofErr w:type="gramEnd"/>
      <w:r>
        <w:rPr>
          <w:rFonts w:ascii="仿宋_GB2312" w:eastAsia="仿宋_GB2312" w:hint="eastAsia"/>
          <w:b/>
          <w:sz w:val="28"/>
          <w:szCs w:val="28"/>
        </w:rPr>
        <w:t>混养高效养殖技术创制</w:t>
      </w:r>
    </w:p>
    <w:p w14:paraId="74F37D8C"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针对我省</w:t>
      </w:r>
      <w:proofErr w:type="gramStart"/>
      <w:r>
        <w:rPr>
          <w:rFonts w:ascii="仿宋_GB2312" w:eastAsia="仿宋_GB2312" w:hint="eastAsia"/>
          <w:sz w:val="28"/>
          <w:szCs w:val="28"/>
        </w:rPr>
        <w:t>鳙</w:t>
      </w:r>
      <w:proofErr w:type="gramEnd"/>
      <w:r>
        <w:rPr>
          <w:rFonts w:ascii="仿宋_GB2312" w:eastAsia="仿宋_GB2312" w:hint="eastAsia"/>
          <w:sz w:val="28"/>
          <w:szCs w:val="28"/>
        </w:rPr>
        <w:t>种质品种退化，虽有国家级原良种场，但至今并未有</w:t>
      </w:r>
      <w:proofErr w:type="gramStart"/>
      <w:r>
        <w:rPr>
          <w:rFonts w:ascii="仿宋_GB2312" w:eastAsia="仿宋_GB2312" w:hint="eastAsia"/>
          <w:sz w:val="28"/>
          <w:szCs w:val="28"/>
        </w:rPr>
        <w:t>鳙</w:t>
      </w:r>
      <w:proofErr w:type="gramEnd"/>
      <w:r>
        <w:rPr>
          <w:rFonts w:ascii="仿宋_GB2312" w:eastAsia="仿宋_GB2312" w:hint="eastAsia"/>
          <w:sz w:val="28"/>
          <w:szCs w:val="28"/>
        </w:rPr>
        <w:t>新品种认定，且</w:t>
      </w:r>
      <w:proofErr w:type="gramStart"/>
      <w:r>
        <w:rPr>
          <w:rFonts w:ascii="仿宋_GB2312" w:eastAsia="仿宋_GB2312" w:hint="eastAsia"/>
          <w:sz w:val="28"/>
          <w:szCs w:val="28"/>
        </w:rPr>
        <w:t>鳙具有</w:t>
      </w:r>
      <w:proofErr w:type="gramEnd"/>
      <w:r>
        <w:rPr>
          <w:rFonts w:ascii="仿宋_GB2312" w:eastAsia="仿宋_GB2312" w:hint="eastAsia"/>
          <w:sz w:val="28"/>
          <w:szCs w:val="28"/>
        </w:rPr>
        <w:t>易捕捞、可高密度养殖的特点，在省级项目的支持下，牵头组织我省专家学者从“中科佳鳙1号”新品种选育单位——中国科学院水生生物研究所引进纯种、健康、且有相关资质证明的“中科佳鳙1号”，用于项目示范基地的相关试验应用；建成了中</w:t>
      </w:r>
      <w:proofErr w:type="gramStart"/>
      <w:r>
        <w:rPr>
          <w:rFonts w:ascii="仿宋_GB2312" w:eastAsia="仿宋_GB2312" w:hint="eastAsia"/>
          <w:sz w:val="28"/>
          <w:szCs w:val="28"/>
        </w:rPr>
        <w:t>科佳鳙</w:t>
      </w:r>
      <w:proofErr w:type="gramEnd"/>
      <w:r>
        <w:rPr>
          <w:rFonts w:ascii="仿宋_GB2312" w:eastAsia="仿宋_GB2312" w:hint="eastAsia"/>
          <w:sz w:val="28"/>
          <w:szCs w:val="28"/>
        </w:rPr>
        <w:t>1号的3个养殖示范点（萍乡市、遂川县、万年县），对比普通</w:t>
      </w:r>
      <w:proofErr w:type="gramStart"/>
      <w:r>
        <w:rPr>
          <w:rFonts w:ascii="仿宋_GB2312" w:eastAsia="仿宋_GB2312" w:hint="eastAsia"/>
          <w:sz w:val="28"/>
          <w:szCs w:val="28"/>
        </w:rPr>
        <w:t>鳙</w:t>
      </w:r>
      <w:proofErr w:type="gramEnd"/>
      <w:r>
        <w:rPr>
          <w:rFonts w:ascii="仿宋_GB2312" w:eastAsia="仿宋_GB2312" w:hint="eastAsia"/>
          <w:sz w:val="28"/>
          <w:szCs w:val="28"/>
        </w:rPr>
        <w:t>和中</w:t>
      </w:r>
      <w:proofErr w:type="gramStart"/>
      <w:r>
        <w:rPr>
          <w:rFonts w:ascii="仿宋_GB2312" w:eastAsia="仿宋_GB2312" w:hint="eastAsia"/>
          <w:sz w:val="28"/>
          <w:szCs w:val="28"/>
        </w:rPr>
        <w:t>科佳鳙</w:t>
      </w:r>
      <w:proofErr w:type="gramEnd"/>
      <w:r>
        <w:rPr>
          <w:rFonts w:ascii="仿宋_GB2312" w:eastAsia="仿宋_GB2312" w:hint="eastAsia"/>
          <w:sz w:val="28"/>
          <w:szCs w:val="28"/>
        </w:rPr>
        <w:t>1号生长性能和经济效益的影响；设置了鳙的密度实验，探究养殖密度对鳙生长性能和经济效益的影响；初步研究了中</w:t>
      </w:r>
      <w:proofErr w:type="gramStart"/>
      <w:r>
        <w:rPr>
          <w:rFonts w:ascii="仿宋_GB2312" w:eastAsia="仿宋_GB2312" w:hint="eastAsia"/>
          <w:sz w:val="28"/>
          <w:szCs w:val="28"/>
        </w:rPr>
        <w:t>科佳鳙</w:t>
      </w:r>
      <w:proofErr w:type="gramEnd"/>
      <w:r>
        <w:rPr>
          <w:rFonts w:ascii="仿宋_GB2312" w:eastAsia="仿宋_GB2312" w:hint="eastAsia"/>
          <w:sz w:val="28"/>
          <w:szCs w:val="28"/>
        </w:rPr>
        <w:t>1号池塘高效养殖模式（</w:t>
      </w:r>
      <w:proofErr w:type="gramStart"/>
      <w:r>
        <w:rPr>
          <w:rFonts w:ascii="仿宋_GB2312" w:eastAsia="仿宋_GB2312" w:hint="eastAsia"/>
          <w:sz w:val="28"/>
          <w:szCs w:val="28"/>
        </w:rPr>
        <w:t>主养草鱼或主养加州</w:t>
      </w:r>
      <w:proofErr w:type="gramEnd"/>
      <w:r>
        <w:rPr>
          <w:rFonts w:ascii="仿宋_GB2312" w:eastAsia="仿宋_GB2312" w:hint="eastAsia"/>
          <w:sz w:val="28"/>
          <w:szCs w:val="28"/>
        </w:rPr>
        <w:t>鲈）。累计引进</w:t>
      </w:r>
      <w:r>
        <w:rPr>
          <w:rFonts w:ascii="仿宋_GB2312" w:eastAsia="仿宋_GB2312" w:hint="eastAsia"/>
          <w:sz w:val="28"/>
          <w:szCs w:val="28"/>
        </w:rPr>
        <w:lastRenderedPageBreak/>
        <w:t>中</w:t>
      </w:r>
      <w:proofErr w:type="gramStart"/>
      <w:r>
        <w:rPr>
          <w:rFonts w:ascii="仿宋_GB2312" w:eastAsia="仿宋_GB2312" w:hint="eastAsia"/>
          <w:sz w:val="28"/>
          <w:szCs w:val="28"/>
        </w:rPr>
        <w:t>科佳鳙</w:t>
      </w:r>
      <w:proofErr w:type="gramEnd"/>
      <w:r>
        <w:rPr>
          <w:rFonts w:ascii="仿宋_GB2312" w:eastAsia="仿宋_GB2312" w:hint="eastAsia"/>
          <w:sz w:val="28"/>
          <w:szCs w:val="28"/>
        </w:rPr>
        <w:t>1号苗种39472尾（总重5515斤），推广养殖面积500亩。</w:t>
      </w:r>
    </w:p>
    <w:p w14:paraId="3C2454DA"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针对</w:t>
      </w:r>
      <w:proofErr w:type="gramStart"/>
      <w:r>
        <w:rPr>
          <w:rFonts w:ascii="仿宋_GB2312" w:eastAsia="仿宋_GB2312" w:hint="eastAsia"/>
          <w:sz w:val="28"/>
          <w:szCs w:val="28"/>
        </w:rPr>
        <w:t>鳙</w:t>
      </w:r>
      <w:proofErr w:type="gramEnd"/>
      <w:r>
        <w:rPr>
          <w:rFonts w:ascii="仿宋_GB2312" w:eastAsia="仿宋_GB2312" w:hint="eastAsia"/>
          <w:sz w:val="28"/>
          <w:szCs w:val="28"/>
        </w:rPr>
        <w:t>营养饲料学的基础研究缺乏的现状，在知名饲料企业-澳华集团的支持下，开展中规格</w:t>
      </w:r>
      <w:proofErr w:type="gramStart"/>
      <w:r>
        <w:rPr>
          <w:rFonts w:ascii="仿宋_GB2312" w:eastAsia="仿宋_GB2312" w:hint="eastAsia"/>
          <w:sz w:val="28"/>
          <w:szCs w:val="28"/>
        </w:rPr>
        <w:t>鳙</w:t>
      </w:r>
      <w:proofErr w:type="gramEnd"/>
      <w:r>
        <w:rPr>
          <w:rFonts w:ascii="仿宋_GB2312" w:eastAsia="仿宋_GB2312" w:hint="eastAsia"/>
          <w:sz w:val="28"/>
          <w:szCs w:val="28"/>
        </w:rPr>
        <w:t>饲料淀粉水平、动物蛋白添加比例和棉籽蛋白替代豆</w:t>
      </w:r>
      <w:proofErr w:type="gramStart"/>
      <w:r>
        <w:rPr>
          <w:rFonts w:ascii="仿宋_GB2312" w:eastAsia="仿宋_GB2312" w:hint="eastAsia"/>
          <w:sz w:val="28"/>
          <w:szCs w:val="28"/>
        </w:rPr>
        <w:t>粕</w:t>
      </w:r>
      <w:proofErr w:type="gramEnd"/>
      <w:r>
        <w:rPr>
          <w:rFonts w:ascii="仿宋_GB2312" w:eastAsia="仿宋_GB2312" w:hint="eastAsia"/>
          <w:sz w:val="28"/>
          <w:szCs w:val="28"/>
        </w:rPr>
        <w:t>的研究。该研究是在江西辉</w:t>
      </w:r>
      <w:proofErr w:type="gramStart"/>
      <w:r>
        <w:rPr>
          <w:rFonts w:ascii="仿宋_GB2312" w:eastAsia="仿宋_GB2312" w:hint="eastAsia"/>
          <w:sz w:val="28"/>
          <w:szCs w:val="28"/>
        </w:rPr>
        <w:t>凯</w:t>
      </w:r>
      <w:proofErr w:type="gramEnd"/>
      <w:r>
        <w:rPr>
          <w:rFonts w:ascii="仿宋_GB2312" w:eastAsia="仿宋_GB2312" w:hint="eastAsia"/>
          <w:sz w:val="28"/>
          <w:szCs w:val="28"/>
        </w:rPr>
        <w:t>有机农业发展有限公司养殖基地开展，示范面积7亩。</w:t>
      </w:r>
    </w:p>
    <w:p w14:paraId="5D2156D3"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t>4坚守教育初心，十年育人路，培育“三有”水产人</w:t>
      </w:r>
    </w:p>
    <w:p w14:paraId="5E66A3A1" w14:textId="77777777" w:rsidR="008B1F96" w:rsidRDefault="00000000">
      <w:pPr>
        <w:spacing w:line="500" w:lineRule="exact"/>
        <w:ind w:firstLineChars="200" w:firstLine="560"/>
        <w:outlineLvl w:val="1"/>
        <w:rPr>
          <w:rFonts w:ascii="仿宋_GB2312" w:eastAsia="仿宋_GB2312"/>
          <w:bCs/>
          <w:sz w:val="28"/>
          <w:szCs w:val="28"/>
        </w:rPr>
      </w:pPr>
      <w:r>
        <w:rPr>
          <w:rFonts w:ascii="仿宋_GB2312" w:eastAsia="仿宋_GB2312" w:hint="eastAsia"/>
          <w:sz w:val="28"/>
          <w:szCs w:val="28"/>
        </w:rPr>
        <w:t>一直坚守“学为人师，行为</w:t>
      </w:r>
      <w:proofErr w:type="gramStart"/>
      <w:r>
        <w:rPr>
          <w:rFonts w:ascii="仿宋_GB2312" w:eastAsia="仿宋_GB2312" w:hint="eastAsia"/>
          <w:sz w:val="28"/>
          <w:szCs w:val="28"/>
        </w:rPr>
        <w:t>世范</w:t>
      </w:r>
      <w:proofErr w:type="gramEnd"/>
      <w:r>
        <w:rPr>
          <w:rFonts w:ascii="仿宋_GB2312" w:eastAsia="仿宋_GB2312" w:hint="eastAsia"/>
          <w:sz w:val="28"/>
          <w:szCs w:val="28"/>
        </w:rPr>
        <w:t>”的原则，致力于培养</w:t>
      </w:r>
      <w:proofErr w:type="gramStart"/>
      <w:r>
        <w:rPr>
          <w:rFonts w:ascii="仿宋_GB2312" w:eastAsia="仿宋_GB2312" w:hint="eastAsia"/>
          <w:sz w:val="28"/>
          <w:szCs w:val="28"/>
        </w:rPr>
        <w:t>有家国</w:t>
      </w:r>
      <w:proofErr w:type="gramEnd"/>
      <w:r>
        <w:rPr>
          <w:rFonts w:ascii="仿宋_GB2312" w:eastAsia="仿宋_GB2312" w:hint="eastAsia"/>
          <w:sz w:val="28"/>
          <w:szCs w:val="28"/>
        </w:rPr>
        <w:t>情怀、有国际视野、有专业技能的“三有”水产人。累计主讲18门专业课程，累计2286人次。担任三届班主任，多次获得校优秀班主任、校先进个人称号，培养本科生和硕士研究生400余人。在人才培养中注重：</w:t>
      </w:r>
      <w:r>
        <w:rPr>
          <w:rFonts w:ascii="仿宋_GB2312" w:eastAsia="仿宋_GB2312" w:hint="eastAsia"/>
          <w:b/>
          <w:sz w:val="28"/>
          <w:szCs w:val="28"/>
        </w:rPr>
        <w:t>一是思想引领</w:t>
      </w:r>
      <w:r>
        <w:rPr>
          <w:rFonts w:ascii="仿宋_GB2312" w:eastAsia="仿宋_GB2312" w:hint="eastAsia"/>
          <w:bCs/>
          <w:sz w:val="28"/>
          <w:szCs w:val="28"/>
        </w:rPr>
        <w:t>，做有理想信念的好教师，引导学生</w:t>
      </w:r>
      <w:proofErr w:type="gramStart"/>
      <w:r>
        <w:rPr>
          <w:rFonts w:ascii="仿宋_GB2312" w:eastAsia="仿宋_GB2312" w:hint="eastAsia"/>
          <w:bCs/>
          <w:sz w:val="28"/>
          <w:szCs w:val="28"/>
        </w:rPr>
        <w:t>践行</w:t>
      </w:r>
      <w:proofErr w:type="gramEnd"/>
      <w:r>
        <w:rPr>
          <w:rFonts w:ascii="仿宋_GB2312" w:eastAsia="仿宋_GB2312" w:hint="eastAsia"/>
          <w:bCs/>
          <w:sz w:val="28"/>
          <w:szCs w:val="28"/>
        </w:rPr>
        <w:t>“求知力行期有为，修已安人奠国基”的家国情怀。</w:t>
      </w:r>
      <w:r>
        <w:rPr>
          <w:rFonts w:ascii="仿宋_GB2312" w:eastAsia="仿宋_GB2312" w:hint="eastAsia"/>
          <w:sz w:val="28"/>
          <w:szCs w:val="28"/>
        </w:rPr>
        <w:t>注重引导学生</w:t>
      </w:r>
      <w:proofErr w:type="gramStart"/>
      <w:r>
        <w:rPr>
          <w:rFonts w:ascii="仿宋_GB2312" w:eastAsia="仿宋_GB2312" w:hint="eastAsia"/>
          <w:sz w:val="28"/>
          <w:szCs w:val="28"/>
        </w:rPr>
        <w:t>践行</w:t>
      </w:r>
      <w:proofErr w:type="gramEnd"/>
      <w:r>
        <w:rPr>
          <w:rFonts w:ascii="仿宋_GB2312" w:eastAsia="仿宋_GB2312" w:hint="eastAsia"/>
          <w:sz w:val="28"/>
          <w:szCs w:val="28"/>
        </w:rPr>
        <w:t>家国情怀，通过入党启蒙教育、缅怀先烈等活动，增强学生的爱国、爱党精神。同时，邀请优秀校友进校园，组织师生开展主题实践活动，将家国情怀融入人才培养中。</w:t>
      </w:r>
      <w:r>
        <w:rPr>
          <w:rFonts w:ascii="仿宋_GB2312" w:eastAsia="仿宋_GB2312" w:hint="eastAsia"/>
          <w:b/>
          <w:sz w:val="28"/>
          <w:szCs w:val="28"/>
        </w:rPr>
        <w:t>二是价值引领</w:t>
      </w:r>
      <w:r>
        <w:rPr>
          <w:rFonts w:ascii="仿宋_GB2312" w:eastAsia="仿宋_GB2312" w:hint="eastAsia"/>
          <w:bCs/>
          <w:sz w:val="28"/>
          <w:szCs w:val="28"/>
        </w:rPr>
        <w:t>，做有道德情操的好教师，引导学生锤炼品格。</w:t>
      </w:r>
      <w:r>
        <w:rPr>
          <w:rFonts w:ascii="仿宋_GB2312" w:eastAsia="仿宋_GB2312" w:hint="eastAsia"/>
          <w:sz w:val="28"/>
          <w:szCs w:val="28"/>
        </w:rPr>
        <w:t>坚持言传身教，以身作则，用良好的师德师风影响学生。注重培育学生的品格，引导他们锤炼意志，积极向上。通过指导学生参与各种比赛，挖掘他们的潜力，培养他们的自信心和责任感。</w:t>
      </w:r>
      <w:r>
        <w:rPr>
          <w:rFonts w:ascii="仿宋_GB2312" w:eastAsia="仿宋_GB2312" w:hint="eastAsia"/>
          <w:b/>
          <w:sz w:val="28"/>
          <w:szCs w:val="28"/>
        </w:rPr>
        <w:t>三是行动引领</w:t>
      </w:r>
      <w:r>
        <w:rPr>
          <w:rFonts w:ascii="仿宋_GB2312" w:eastAsia="仿宋_GB2312" w:hint="eastAsia"/>
          <w:bCs/>
          <w:sz w:val="28"/>
          <w:szCs w:val="28"/>
        </w:rPr>
        <w:t>，做有扎实学识的好教师，引导学生自强不息、健康成长。</w:t>
      </w:r>
    </w:p>
    <w:p w14:paraId="78F6F26C" w14:textId="77777777" w:rsidR="008B1F96" w:rsidRDefault="00000000">
      <w:pPr>
        <w:spacing w:line="500" w:lineRule="exact"/>
        <w:outlineLvl w:val="1"/>
        <w:rPr>
          <w:rFonts w:ascii="仿宋_GB2312" w:eastAsia="仿宋_GB2312"/>
          <w:sz w:val="28"/>
          <w:szCs w:val="28"/>
        </w:rPr>
      </w:pPr>
      <w:r>
        <w:rPr>
          <w:rFonts w:ascii="仿宋_GB2312" w:eastAsia="仿宋_GB2312" w:hint="eastAsia"/>
          <w:sz w:val="28"/>
          <w:szCs w:val="28"/>
        </w:rPr>
        <w:t>刻苦钻研，不断进取。注重学以致用，将科研成果融入教学，指导学生参与项目工作，培养他们的实践能力和创新精神。同时，还积极筹备并组织学生参与重要行业会议，提高学生对行业前沿的了解，扩宽器国际视野，培养其全球意识，增强其合作交流能力。此外，注重强化职业规划意识和服务三农意识，帮助他们提高业务本领和抉择职业发展方向，争做优秀的水产人，为我国水产养殖业的转型升级贡献江农智慧和力量。</w:t>
      </w:r>
    </w:p>
    <w:p w14:paraId="753D6EFB" w14:textId="77777777" w:rsidR="008B1F96" w:rsidRDefault="00000000">
      <w:pPr>
        <w:spacing w:line="500" w:lineRule="exact"/>
        <w:ind w:firstLineChars="200" w:firstLine="562"/>
        <w:outlineLvl w:val="1"/>
        <w:rPr>
          <w:rFonts w:ascii="仿宋_GB2312" w:eastAsia="仿宋_GB2312"/>
          <w:b/>
          <w:sz w:val="28"/>
          <w:szCs w:val="28"/>
        </w:rPr>
      </w:pPr>
      <w:r>
        <w:rPr>
          <w:rFonts w:ascii="仿宋_GB2312" w:eastAsia="仿宋_GB2312" w:hint="eastAsia"/>
          <w:b/>
          <w:sz w:val="28"/>
          <w:szCs w:val="28"/>
        </w:rPr>
        <w:lastRenderedPageBreak/>
        <w:t>5构建我省水产动物营养与饲料和健康养殖创新高地的优秀团队</w:t>
      </w:r>
    </w:p>
    <w:p w14:paraId="2F35C62D" w14:textId="77777777" w:rsidR="008B1F96" w:rsidRDefault="00000000">
      <w:pPr>
        <w:spacing w:line="500" w:lineRule="exact"/>
        <w:ind w:firstLineChars="200" w:firstLine="560"/>
        <w:outlineLvl w:val="1"/>
        <w:rPr>
          <w:rFonts w:ascii="仿宋_GB2312" w:eastAsia="仿宋_GB2312"/>
          <w:sz w:val="28"/>
          <w:szCs w:val="28"/>
        </w:rPr>
      </w:pPr>
      <w:r>
        <w:rPr>
          <w:rFonts w:ascii="仿宋_GB2312" w:eastAsia="仿宋_GB2312" w:hint="eastAsia"/>
          <w:sz w:val="28"/>
          <w:szCs w:val="28"/>
        </w:rPr>
        <w:t>依托江西省水产养殖学一流专业和江西省唯一的水产学一级硕士点，借助南昌市重点实验室和校级研究所，候选人牵头组建我省首批淡水水产动物营养与饲料和健康养殖团队，汇聚了一批对科学有执著追求的精干人才。团队核心成员包括具有丰富研究经历的访问学者、副教授及校“未来之星”等，均具有211以上高校的博士学位，科研兴趣浓厚、技能优秀、具备出色的团队协作精神，愿为我省水产养殖业转型发展贡献智慧和力量。目前，团队研究生和本科生规模已达近30人，是我省水产动物营养与饲料领域出色的教学科研团队，育人效果受到澳华、海大、恒兴、粤海、通威等知名饲料企业和中国海洋大学、华中农业大学、上海海洋大学等研究生招生单位的青睐。同时，积极组织申报省级水产动物营养与健康创新团队，力争在5年内获批，为团队的长远发展奠定坚实基础。</w:t>
      </w:r>
      <w:r>
        <w:rPr>
          <w:rFonts w:ascii="仿宋_GB2312" w:eastAsia="仿宋_GB2312" w:hint="eastAsia"/>
          <w:sz w:val="28"/>
          <w:szCs w:val="28"/>
        </w:rPr>
        <w:br w:type="page"/>
      </w:r>
    </w:p>
    <w:p w14:paraId="46089DFF" w14:textId="77777777" w:rsidR="008B1F96" w:rsidRDefault="00000000">
      <w:pPr>
        <w:spacing w:line="580" w:lineRule="exact"/>
        <w:ind w:firstLineChars="200" w:firstLine="643"/>
        <w:outlineLvl w:val="1"/>
        <w:rPr>
          <w:rFonts w:eastAsia="仿宋_GB2312"/>
          <w:b/>
          <w:sz w:val="32"/>
          <w:szCs w:val="32"/>
        </w:rPr>
      </w:pPr>
      <w:r>
        <w:rPr>
          <w:rFonts w:eastAsia="仿宋_GB2312"/>
          <w:b/>
          <w:sz w:val="32"/>
          <w:szCs w:val="32"/>
        </w:rPr>
        <w:lastRenderedPageBreak/>
        <w:t>支撑材料</w:t>
      </w:r>
    </w:p>
    <w:p w14:paraId="0C9E5029" w14:textId="77777777" w:rsidR="008B1F96" w:rsidRDefault="00000000">
      <w:pPr>
        <w:spacing w:line="580" w:lineRule="exact"/>
        <w:ind w:firstLineChars="200" w:firstLine="643"/>
        <w:outlineLvl w:val="1"/>
        <w:rPr>
          <w:rFonts w:eastAsia="仿宋_GB2312"/>
          <w:sz w:val="28"/>
          <w:szCs w:val="28"/>
        </w:rPr>
      </w:pPr>
      <w:r>
        <w:rPr>
          <w:rFonts w:ascii="Calibri" w:eastAsia="仿宋_GB2312" w:hAnsi="Calibri" w:cs="Calibri"/>
          <w:b/>
          <w:sz w:val="32"/>
          <w:szCs w:val="32"/>
        </w:rPr>
        <w:t>﻿</w:t>
      </w:r>
      <w:r>
        <w:rPr>
          <w:rFonts w:eastAsia="仿宋_GB2312"/>
          <w:b/>
          <w:sz w:val="28"/>
          <w:szCs w:val="28"/>
        </w:rPr>
        <w:t>一、期刊论文</w:t>
      </w:r>
    </w:p>
    <w:p w14:paraId="3E7EEE4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 Effects of Apple Polyphenols and Taurine on Growth Performance, Tissue Morphology, and Lipid and Glucose Metabolism in Rice Field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Fed High Oxidized Fish Oil. Aquaculture Nutrition</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2023</w:t>
      </w:r>
      <w:r>
        <w:rPr>
          <w:rFonts w:eastAsia="仿宋_GB2312"/>
          <w:sz w:val="28"/>
          <w:szCs w:val="28"/>
        </w:rPr>
        <w:t>，通讯作者；</w:t>
      </w:r>
    </w:p>
    <w:p w14:paraId="268764D2"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2. Effects of dietary bile acids on growth performance, lipid deposition and intestinal health of rice field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xml:space="preserve"> fed with high-lipid diets. Aquaculture Nutrition</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2023</w:t>
      </w:r>
      <w:r>
        <w:rPr>
          <w:rFonts w:eastAsia="仿宋_GB2312"/>
          <w:sz w:val="28"/>
          <w:szCs w:val="28"/>
        </w:rPr>
        <w:t>，通讯作者</w:t>
      </w:r>
    </w:p>
    <w:p w14:paraId="33339605"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3. Dietary supplementation of β-1, 3-glucan improves the intestinal health of white shrimp (</w:t>
      </w:r>
      <w:proofErr w:type="spellStart"/>
      <w:r>
        <w:rPr>
          <w:rFonts w:eastAsia="仿宋_GB2312"/>
          <w:i/>
          <w:sz w:val="28"/>
          <w:szCs w:val="28"/>
        </w:rPr>
        <w:t>Litopenaeus</w:t>
      </w:r>
      <w:proofErr w:type="spellEnd"/>
      <w:r>
        <w:rPr>
          <w:rFonts w:eastAsia="仿宋_GB2312"/>
          <w:i/>
          <w:sz w:val="28"/>
          <w:szCs w:val="28"/>
        </w:rPr>
        <w:t xml:space="preserve"> </w:t>
      </w:r>
      <w:proofErr w:type="spellStart"/>
      <w:r>
        <w:rPr>
          <w:rFonts w:eastAsia="仿宋_GB2312"/>
          <w:i/>
          <w:sz w:val="28"/>
          <w:szCs w:val="28"/>
        </w:rPr>
        <w:t>vannamei</w:t>
      </w:r>
      <w:proofErr w:type="spellEnd"/>
      <w:r>
        <w:rPr>
          <w:rFonts w:eastAsia="仿宋_GB2312"/>
          <w:sz w:val="28"/>
          <w:szCs w:val="28"/>
        </w:rPr>
        <w:t>) by modulating intestinal microbiota and inhibiting inflammatory response. Frontiers in Immunology</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2023</w:t>
      </w:r>
      <w:r>
        <w:rPr>
          <w:rFonts w:eastAsia="仿宋_GB2312"/>
          <w:sz w:val="28"/>
          <w:szCs w:val="28"/>
        </w:rPr>
        <w:t>，共同通讯作者；</w:t>
      </w:r>
    </w:p>
    <w:p w14:paraId="5D0F0D77"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4. Response of Intestinal Microbiota to the Variation in Diets in Grass Carp (</w:t>
      </w:r>
      <w:proofErr w:type="spellStart"/>
      <w:r>
        <w:rPr>
          <w:rFonts w:eastAsia="仿宋_GB2312"/>
          <w:i/>
          <w:sz w:val="28"/>
          <w:szCs w:val="28"/>
        </w:rPr>
        <w:t>Ctenopharyngodon</w:t>
      </w:r>
      <w:proofErr w:type="spellEnd"/>
      <w:r>
        <w:rPr>
          <w:rFonts w:eastAsia="仿宋_GB2312"/>
          <w:i/>
          <w:sz w:val="28"/>
          <w:szCs w:val="28"/>
        </w:rPr>
        <w:t xml:space="preserve"> </w:t>
      </w:r>
      <w:proofErr w:type="spellStart"/>
      <w:r>
        <w:rPr>
          <w:rFonts w:eastAsia="仿宋_GB2312"/>
          <w:i/>
          <w:sz w:val="28"/>
          <w:szCs w:val="28"/>
        </w:rPr>
        <w:t>idella</w:t>
      </w:r>
      <w:proofErr w:type="spellEnd"/>
      <w:r>
        <w:rPr>
          <w:rFonts w:eastAsia="仿宋_GB2312"/>
          <w:sz w:val="28"/>
          <w:szCs w:val="28"/>
        </w:rPr>
        <w:t>). Metabolites</w:t>
      </w:r>
      <w:r>
        <w:rPr>
          <w:rFonts w:eastAsia="仿宋_GB2312"/>
          <w:sz w:val="28"/>
          <w:szCs w:val="28"/>
        </w:rPr>
        <w:t>（中科院</w:t>
      </w:r>
      <w:r>
        <w:rPr>
          <w:rFonts w:eastAsia="仿宋_GB2312"/>
          <w:sz w:val="28"/>
          <w:szCs w:val="28"/>
        </w:rPr>
        <w:t>3</w:t>
      </w:r>
      <w:r>
        <w:rPr>
          <w:rFonts w:eastAsia="仿宋_GB2312"/>
          <w:sz w:val="28"/>
          <w:szCs w:val="28"/>
        </w:rPr>
        <w:t>区），</w:t>
      </w:r>
      <w:r>
        <w:rPr>
          <w:rFonts w:eastAsia="仿宋_GB2312"/>
          <w:sz w:val="28"/>
          <w:szCs w:val="28"/>
        </w:rPr>
        <w:t>2022</w:t>
      </w:r>
      <w:r>
        <w:rPr>
          <w:rFonts w:eastAsia="仿宋_GB2312"/>
          <w:sz w:val="28"/>
          <w:szCs w:val="28"/>
        </w:rPr>
        <w:t>，共同通讯作者；</w:t>
      </w:r>
    </w:p>
    <w:p w14:paraId="25846B4B"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5. Probiotics </w:t>
      </w:r>
      <w:r>
        <w:rPr>
          <w:rFonts w:eastAsia="仿宋_GB2312"/>
          <w:i/>
          <w:sz w:val="28"/>
          <w:szCs w:val="28"/>
        </w:rPr>
        <w:t>Bacillus cereus</w:t>
      </w:r>
      <w:r>
        <w:rPr>
          <w:rFonts w:eastAsia="仿宋_GB2312"/>
          <w:sz w:val="28"/>
          <w:szCs w:val="28"/>
        </w:rPr>
        <w:t xml:space="preserve"> and </w:t>
      </w:r>
      <w:r>
        <w:rPr>
          <w:rFonts w:eastAsia="仿宋_GB2312"/>
          <w:i/>
          <w:sz w:val="28"/>
          <w:szCs w:val="28"/>
        </w:rPr>
        <w:t xml:space="preserve">B. subtilis </w:t>
      </w:r>
      <w:r>
        <w:rPr>
          <w:rFonts w:eastAsia="仿宋_GB2312"/>
          <w:sz w:val="28"/>
          <w:szCs w:val="28"/>
        </w:rPr>
        <w:t>reshape the intestinal microbiota of Pengze crucian carp (</w:t>
      </w:r>
      <w:r>
        <w:rPr>
          <w:rFonts w:eastAsia="仿宋_GB2312"/>
          <w:i/>
          <w:sz w:val="28"/>
          <w:szCs w:val="28"/>
        </w:rPr>
        <w:t>Carassius auratus var</w:t>
      </w:r>
      <w:r>
        <w:rPr>
          <w:rFonts w:eastAsia="仿宋_GB2312"/>
          <w:sz w:val="28"/>
          <w:szCs w:val="28"/>
        </w:rPr>
        <w:t>. Pengze) fed with high plant protein diets. Frontiers in Nutrition</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2022</w:t>
      </w:r>
      <w:r>
        <w:rPr>
          <w:rFonts w:eastAsia="仿宋_GB2312"/>
          <w:sz w:val="28"/>
          <w:szCs w:val="28"/>
        </w:rPr>
        <w:t>，通讯作者；</w:t>
      </w:r>
    </w:p>
    <w:p w14:paraId="6414E6A6"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6. Optimizing the fatty acid profile of novel terrestrial oil blends in low fishmeal diets of rainbow trout (</w:t>
      </w:r>
      <w:r>
        <w:rPr>
          <w:rFonts w:eastAsia="仿宋_GB2312"/>
          <w:i/>
          <w:sz w:val="28"/>
          <w:szCs w:val="28"/>
        </w:rPr>
        <w:t>Oncorhynchus mykiss</w:t>
      </w:r>
      <w:r>
        <w:rPr>
          <w:rFonts w:eastAsia="仿宋_GB2312"/>
          <w:sz w:val="28"/>
          <w:szCs w:val="28"/>
        </w:rPr>
        <w:t xml:space="preserve">) yields comparable fish growth, total fillet n-3 LC-PUFA content, and health </w:t>
      </w:r>
      <w:r>
        <w:rPr>
          <w:rFonts w:eastAsia="仿宋_GB2312"/>
          <w:sz w:val="28"/>
          <w:szCs w:val="28"/>
        </w:rPr>
        <w:lastRenderedPageBreak/>
        <w:t>performance relative to fish oil. 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2021</w:t>
      </w:r>
      <w:r>
        <w:rPr>
          <w:rFonts w:eastAsia="仿宋_GB2312"/>
          <w:sz w:val="28"/>
          <w:szCs w:val="28"/>
        </w:rPr>
        <w:t>，共同通讯作者；</w:t>
      </w:r>
    </w:p>
    <w:p w14:paraId="10E1564F"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7. Effects of dietary gelatinized starch on growth </w:t>
      </w:r>
      <w:proofErr w:type="spellStart"/>
      <w:proofErr w:type="gramStart"/>
      <w:r>
        <w:rPr>
          <w:rFonts w:eastAsia="仿宋_GB2312"/>
          <w:sz w:val="28"/>
          <w:szCs w:val="28"/>
        </w:rPr>
        <w:t>performance,glucose</w:t>
      </w:r>
      <w:proofErr w:type="spellEnd"/>
      <w:proofErr w:type="gramEnd"/>
      <w:r>
        <w:rPr>
          <w:rFonts w:eastAsia="仿宋_GB2312"/>
          <w:sz w:val="28"/>
          <w:szCs w:val="28"/>
        </w:rPr>
        <w:t xml:space="preserve"> metabolism, oxidative status and fillet texture of rice field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Aquaculture Research</w:t>
      </w:r>
      <w:r>
        <w:rPr>
          <w:rFonts w:eastAsia="仿宋_GB2312"/>
          <w:sz w:val="28"/>
          <w:szCs w:val="28"/>
        </w:rPr>
        <w:t>（中科院</w:t>
      </w:r>
      <w:r>
        <w:rPr>
          <w:rFonts w:eastAsia="仿宋_GB2312"/>
          <w:sz w:val="28"/>
          <w:szCs w:val="28"/>
        </w:rPr>
        <w:t>4</w:t>
      </w:r>
      <w:r>
        <w:rPr>
          <w:rFonts w:eastAsia="仿宋_GB2312"/>
          <w:sz w:val="28"/>
          <w:szCs w:val="28"/>
        </w:rPr>
        <w:t>区），</w:t>
      </w:r>
      <w:r>
        <w:rPr>
          <w:rFonts w:eastAsia="仿宋_GB2312"/>
          <w:sz w:val="28"/>
          <w:szCs w:val="28"/>
        </w:rPr>
        <w:t>2021</w:t>
      </w:r>
      <w:r>
        <w:rPr>
          <w:rFonts w:eastAsia="仿宋_GB2312"/>
          <w:sz w:val="28"/>
          <w:szCs w:val="28"/>
        </w:rPr>
        <w:t>，通讯作者；</w:t>
      </w:r>
    </w:p>
    <w:p w14:paraId="2FB8CCAC"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8. Beneficial effects of β-glucan, inulin and emodin on antioxidant system, inflammatory response, and intestinal barrier functions of grass carp (</w:t>
      </w:r>
      <w:proofErr w:type="spellStart"/>
      <w:r>
        <w:rPr>
          <w:rFonts w:eastAsia="仿宋_GB2312"/>
          <w:i/>
          <w:sz w:val="28"/>
          <w:szCs w:val="28"/>
        </w:rPr>
        <w:t>Ctenopharyngodon</w:t>
      </w:r>
      <w:proofErr w:type="spellEnd"/>
      <w:r>
        <w:rPr>
          <w:rFonts w:eastAsia="仿宋_GB2312"/>
          <w:i/>
          <w:sz w:val="28"/>
          <w:szCs w:val="28"/>
        </w:rPr>
        <w:t xml:space="preserve"> </w:t>
      </w:r>
      <w:proofErr w:type="spellStart"/>
      <w:r>
        <w:rPr>
          <w:rFonts w:eastAsia="仿宋_GB2312"/>
          <w:i/>
          <w:sz w:val="28"/>
          <w:szCs w:val="28"/>
        </w:rPr>
        <w:t>idellus</w:t>
      </w:r>
      <w:proofErr w:type="spellEnd"/>
      <w:r>
        <w:rPr>
          <w:rFonts w:eastAsia="仿宋_GB2312"/>
          <w:sz w:val="28"/>
          <w:szCs w:val="28"/>
        </w:rPr>
        <w:t>) fed low fish meal diet. Animal Feed Science and Technology</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2021</w:t>
      </w:r>
      <w:r>
        <w:rPr>
          <w:rFonts w:eastAsia="仿宋_GB2312"/>
          <w:sz w:val="28"/>
          <w:szCs w:val="28"/>
        </w:rPr>
        <w:t>，通讯作者；</w:t>
      </w:r>
    </w:p>
    <w:p w14:paraId="5F90B042"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9. Apple polyphenols modulates the antioxidant defense response and attenuated inflammatory response concurrent with hepatoprotective effect on grass carp (</w:t>
      </w:r>
      <w:proofErr w:type="spellStart"/>
      <w:r>
        <w:rPr>
          <w:rFonts w:eastAsia="仿宋_GB2312"/>
          <w:i/>
          <w:sz w:val="28"/>
          <w:szCs w:val="28"/>
        </w:rPr>
        <w:t>Ctenopharyngodon</w:t>
      </w:r>
      <w:proofErr w:type="spellEnd"/>
      <w:r>
        <w:rPr>
          <w:rFonts w:eastAsia="仿宋_GB2312"/>
          <w:i/>
          <w:sz w:val="28"/>
          <w:szCs w:val="28"/>
        </w:rPr>
        <w:t xml:space="preserve"> </w:t>
      </w:r>
      <w:proofErr w:type="spellStart"/>
      <w:r>
        <w:rPr>
          <w:rFonts w:eastAsia="仿宋_GB2312"/>
          <w:i/>
          <w:sz w:val="28"/>
          <w:szCs w:val="28"/>
        </w:rPr>
        <w:t>idellus</w:t>
      </w:r>
      <w:proofErr w:type="spellEnd"/>
      <w:r>
        <w:rPr>
          <w:rFonts w:eastAsia="仿宋_GB2312"/>
          <w:sz w:val="28"/>
          <w:szCs w:val="28"/>
        </w:rPr>
        <w:t>) fed low fishmeal diet. 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2021</w:t>
      </w:r>
      <w:r>
        <w:rPr>
          <w:rFonts w:eastAsia="仿宋_GB2312"/>
          <w:sz w:val="28"/>
          <w:szCs w:val="28"/>
        </w:rPr>
        <w:t>，通讯作者；</w:t>
      </w:r>
    </w:p>
    <w:p w14:paraId="4CC6C2A5"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10. Effect of oil source on growth performance, antioxidant capacity, fatty acid composition and fillet quality of juvenile grass carp (</w:t>
      </w:r>
      <w:proofErr w:type="spellStart"/>
      <w:r>
        <w:rPr>
          <w:rFonts w:eastAsia="仿宋_GB2312"/>
          <w:i/>
          <w:sz w:val="28"/>
          <w:szCs w:val="28"/>
        </w:rPr>
        <w:t>Ctenopharyngodon</w:t>
      </w:r>
      <w:proofErr w:type="spellEnd"/>
      <w:r>
        <w:rPr>
          <w:rFonts w:eastAsia="仿宋_GB2312"/>
          <w:i/>
          <w:sz w:val="28"/>
          <w:szCs w:val="28"/>
        </w:rPr>
        <w:t xml:space="preserve"> </w:t>
      </w:r>
      <w:proofErr w:type="spellStart"/>
      <w:r>
        <w:rPr>
          <w:rFonts w:eastAsia="仿宋_GB2312"/>
          <w:i/>
          <w:sz w:val="28"/>
          <w:szCs w:val="28"/>
        </w:rPr>
        <w:t>idella</w:t>
      </w:r>
      <w:proofErr w:type="spellEnd"/>
      <w:r>
        <w:rPr>
          <w:rFonts w:eastAsia="仿宋_GB2312"/>
          <w:sz w:val="28"/>
          <w:szCs w:val="28"/>
        </w:rPr>
        <w:t>), Aquaculture Nutrition</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2020</w:t>
      </w:r>
      <w:r>
        <w:rPr>
          <w:rFonts w:eastAsia="仿宋_GB2312"/>
          <w:sz w:val="28"/>
          <w:szCs w:val="28"/>
        </w:rPr>
        <w:t>，共同通讯作者；</w:t>
      </w:r>
    </w:p>
    <w:p w14:paraId="002618A6"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11. Beneficial effects of emodin and curcumin supplementation on antioxidant defense response, inflammatory response, and intestinal barrier of Pengze crucian carp (</w:t>
      </w:r>
      <w:r>
        <w:rPr>
          <w:rFonts w:eastAsia="仿宋_GB2312"/>
          <w:i/>
          <w:sz w:val="28"/>
          <w:szCs w:val="28"/>
        </w:rPr>
        <w:t>Carassius auratus</w:t>
      </w:r>
      <w:r>
        <w:rPr>
          <w:rFonts w:eastAsia="仿宋_GB2312"/>
          <w:sz w:val="28"/>
          <w:szCs w:val="28"/>
        </w:rPr>
        <w:t xml:space="preserve"> var. Pengze). Aquaculture Nutrition</w:t>
      </w:r>
      <w:r>
        <w:rPr>
          <w:rFonts w:eastAsia="仿宋_GB2312"/>
          <w:sz w:val="28"/>
          <w:szCs w:val="28"/>
        </w:rPr>
        <w:t>（中科院</w:t>
      </w:r>
      <w:r>
        <w:rPr>
          <w:rFonts w:eastAsia="仿宋_GB2312"/>
          <w:sz w:val="28"/>
          <w:szCs w:val="28"/>
        </w:rPr>
        <w:t>2</w:t>
      </w:r>
      <w:r>
        <w:rPr>
          <w:rFonts w:eastAsia="仿宋_GB2312"/>
          <w:sz w:val="28"/>
          <w:szCs w:val="28"/>
        </w:rPr>
        <w:t>区），</w:t>
      </w:r>
      <w:r>
        <w:rPr>
          <w:rFonts w:eastAsia="仿宋_GB2312"/>
          <w:sz w:val="28"/>
          <w:szCs w:val="28"/>
        </w:rPr>
        <w:t>2020</w:t>
      </w:r>
      <w:r>
        <w:rPr>
          <w:rFonts w:eastAsia="仿宋_GB2312"/>
          <w:sz w:val="28"/>
          <w:szCs w:val="28"/>
        </w:rPr>
        <w:t>，通讯作者；</w:t>
      </w:r>
    </w:p>
    <w:p w14:paraId="508C509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12. Probiotic (</w:t>
      </w:r>
      <w:r>
        <w:rPr>
          <w:rFonts w:eastAsia="仿宋_GB2312"/>
          <w:i/>
          <w:sz w:val="28"/>
          <w:szCs w:val="28"/>
        </w:rPr>
        <w:t>Bacillus cereus</w:t>
      </w:r>
      <w:r>
        <w:rPr>
          <w:rFonts w:eastAsia="仿宋_GB2312"/>
          <w:sz w:val="28"/>
          <w:szCs w:val="28"/>
        </w:rPr>
        <w:t xml:space="preserve">) enhanced growth of Pengze crucian </w:t>
      </w:r>
      <w:proofErr w:type="spellStart"/>
      <w:r>
        <w:rPr>
          <w:rFonts w:eastAsia="仿宋_GB2312"/>
          <w:sz w:val="28"/>
          <w:szCs w:val="28"/>
        </w:rPr>
        <w:t>carpconcurrent</w:t>
      </w:r>
      <w:proofErr w:type="spellEnd"/>
      <w:r>
        <w:rPr>
          <w:rFonts w:eastAsia="仿宋_GB2312"/>
          <w:sz w:val="28"/>
          <w:szCs w:val="28"/>
        </w:rPr>
        <w:t xml:space="preserve"> with modulating the antioxidant defense response and </w:t>
      </w:r>
      <w:proofErr w:type="spellStart"/>
      <w:r>
        <w:rPr>
          <w:rFonts w:eastAsia="仿宋_GB2312"/>
          <w:sz w:val="28"/>
          <w:szCs w:val="28"/>
        </w:rPr>
        <w:t>exertingbeneficial</w:t>
      </w:r>
      <w:proofErr w:type="spellEnd"/>
      <w:r>
        <w:rPr>
          <w:rFonts w:eastAsia="仿宋_GB2312"/>
          <w:sz w:val="28"/>
          <w:szCs w:val="28"/>
        </w:rPr>
        <w:t xml:space="preserve"> impacts on inflammatory response via Nrf2 activation. </w:t>
      </w:r>
      <w:r>
        <w:rPr>
          <w:rFonts w:eastAsia="仿宋_GB2312"/>
          <w:sz w:val="28"/>
          <w:szCs w:val="28"/>
        </w:rPr>
        <w:lastRenderedPageBreak/>
        <w:t>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2020</w:t>
      </w:r>
      <w:r>
        <w:rPr>
          <w:rFonts w:eastAsia="仿宋_GB2312"/>
          <w:sz w:val="28"/>
          <w:szCs w:val="28"/>
        </w:rPr>
        <w:t>，通讯作者；</w:t>
      </w:r>
    </w:p>
    <w:p w14:paraId="31FC010E"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13. Dysbiosis of intestinal microbiota induced by dietary oxidized fish oil and recovery of diet-induced dysbiosis via taurine supplementation in rice field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2019</w:t>
      </w:r>
      <w:r>
        <w:rPr>
          <w:rFonts w:eastAsia="仿宋_GB2312"/>
          <w:sz w:val="28"/>
          <w:szCs w:val="28"/>
        </w:rPr>
        <w:t>，第一作者；</w:t>
      </w:r>
    </w:p>
    <w:p w14:paraId="2BC13C4C"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14. Dietary supplementation of Bacillus cereus as probiotics in Pengze crucian carp (</w:t>
      </w:r>
      <w:r>
        <w:rPr>
          <w:rFonts w:eastAsia="仿宋_GB2312"/>
          <w:i/>
          <w:sz w:val="28"/>
          <w:szCs w:val="28"/>
        </w:rPr>
        <w:t>Carassius auratus</w:t>
      </w:r>
      <w:r>
        <w:rPr>
          <w:rFonts w:eastAsia="仿宋_GB2312"/>
          <w:sz w:val="28"/>
          <w:szCs w:val="28"/>
        </w:rPr>
        <w:t xml:space="preserve"> var. Pengze): Effects on growth performance, fillet quality, serum biochemical parameters and intestinal histology. Aquaculture Research</w:t>
      </w:r>
      <w:r>
        <w:rPr>
          <w:rFonts w:eastAsia="仿宋_GB2312"/>
          <w:sz w:val="28"/>
          <w:szCs w:val="28"/>
        </w:rPr>
        <w:t>（中科院</w:t>
      </w:r>
      <w:r>
        <w:rPr>
          <w:rFonts w:eastAsia="仿宋_GB2312"/>
          <w:sz w:val="28"/>
          <w:szCs w:val="28"/>
        </w:rPr>
        <w:t>4</w:t>
      </w:r>
      <w:r>
        <w:rPr>
          <w:rFonts w:eastAsia="仿宋_GB2312"/>
          <w:sz w:val="28"/>
          <w:szCs w:val="28"/>
        </w:rPr>
        <w:t>区），</w:t>
      </w:r>
      <w:r>
        <w:rPr>
          <w:rFonts w:eastAsia="仿宋_GB2312"/>
          <w:sz w:val="28"/>
          <w:szCs w:val="28"/>
        </w:rPr>
        <w:t>2019</w:t>
      </w:r>
      <w:r>
        <w:rPr>
          <w:rFonts w:eastAsia="仿宋_GB2312"/>
          <w:sz w:val="28"/>
          <w:szCs w:val="28"/>
        </w:rPr>
        <w:t>，通讯作者；</w:t>
      </w:r>
    </w:p>
    <w:p w14:paraId="2F32EAA7"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15. Disturbance in the homeostasis of intestinal microbiota by a high-fat diet in the rice field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2019</w:t>
      </w:r>
      <w:r>
        <w:rPr>
          <w:rFonts w:eastAsia="仿宋_GB2312"/>
          <w:sz w:val="28"/>
          <w:szCs w:val="28"/>
        </w:rPr>
        <w:t>，第一作者；</w:t>
      </w:r>
    </w:p>
    <w:p w14:paraId="4F60E79A"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16. Changes in microbiota along the intestine of grass carp (</w:t>
      </w:r>
      <w:proofErr w:type="spellStart"/>
      <w:r>
        <w:rPr>
          <w:rFonts w:eastAsia="仿宋_GB2312"/>
          <w:i/>
          <w:sz w:val="28"/>
          <w:szCs w:val="28"/>
        </w:rPr>
        <w:t>Ctenopharyngodon</w:t>
      </w:r>
      <w:proofErr w:type="spellEnd"/>
      <w:r>
        <w:rPr>
          <w:rFonts w:eastAsia="仿宋_GB2312"/>
          <w:i/>
          <w:sz w:val="28"/>
          <w:szCs w:val="28"/>
        </w:rPr>
        <w:t xml:space="preserve"> </w:t>
      </w:r>
      <w:proofErr w:type="spellStart"/>
      <w:r>
        <w:rPr>
          <w:rFonts w:eastAsia="仿宋_GB2312"/>
          <w:i/>
          <w:sz w:val="28"/>
          <w:szCs w:val="28"/>
        </w:rPr>
        <w:t>idella</w:t>
      </w:r>
      <w:proofErr w:type="spellEnd"/>
      <w:r>
        <w:rPr>
          <w:rFonts w:eastAsia="仿宋_GB2312"/>
          <w:sz w:val="28"/>
          <w:szCs w:val="28"/>
        </w:rPr>
        <w:t>): Community, interspecific interactions, and functions. Aquaculture</w:t>
      </w:r>
      <w:r>
        <w:rPr>
          <w:rFonts w:eastAsia="仿宋_GB2312"/>
          <w:sz w:val="28"/>
          <w:szCs w:val="28"/>
        </w:rPr>
        <w:t>（中科院</w:t>
      </w:r>
      <w:r>
        <w:rPr>
          <w:rFonts w:eastAsia="仿宋_GB2312"/>
          <w:sz w:val="28"/>
          <w:szCs w:val="28"/>
        </w:rPr>
        <w:t>1</w:t>
      </w:r>
      <w:r>
        <w:rPr>
          <w:rFonts w:eastAsia="仿宋_GB2312"/>
          <w:sz w:val="28"/>
          <w:szCs w:val="28"/>
        </w:rPr>
        <w:t>区</w:t>
      </w:r>
      <w:r>
        <w:rPr>
          <w:rFonts w:eastAsia="仿宋_GB2312"/>
          <w:sz w:val="28"/>
          <w:szCs w:val="28"/>
        </w:rPr>
        <w:t>Top</w:t>
      </w:r>
      <w:r>
        <w:rPr>
          <w:rFonts w:eastAsia="仿宋_GB2312"/>
          <w:sz w:val="28"/>
          <w:szCs w:val="28"/>
        </w:rPr>
        <w:t>），</w:t>
      </w:r>
      <w:r>
        <w:rPr>
          <w:rFonts w:eastAsia="仿宋_GB2312"/>
          <w:sz w:val="28"/>
          <w:szCs w:val="28"/>
        </w:rPr>
        <w:t>2019</w:t>
      </w:r>
      <w:r>
        <w:rPr>
          <w:rFonts w:eastAsia="仿宋_GB2312"/>
          <w:sz w:val="28"/>
          <w:szCs w:val="28"/>
        </w:rPr>
        <w:t>，通讯作者；</w:t>
      </w:r>
    </w:p>
    <w:p w14:paraId="03D27F8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17. Effect of dietary taurine supplementation on growth, digestive enzyme, </w:t>
      </w:r>
      <w:proofErr w:type="spellStart"/>
      <w:r>
        <w:rPr>
          <w:rFonts w:eastAsia="仿宋_GB2312"/>
          <w:sz w:val="28"/>
          <w:szCs w:val="28"/>
        </w:rPr>
        <w:t>immunityand</w:t>
      </w:r>
      <w:proofErr w:type="spellEnd"/>
      <w:r>
        <w:rPr>
          <w:rFonts w:eastAsia="仿宋_GB2312"/>
          <w:sz w:val="28"/>
          <w:szCs w:val="28"/>
        </w:rPr>
        <w:t xml:space="preserve"> resistant to dry stress of rice filed eel (</w:t>
      </w:r>
      <w:proofErr w:type="spellStart"/>
      <w:r>
        <w:rPr>
          <w:rFonts w:eastAsia="仿宋_GB2312"/>
          <w:i/>
          <w:sz w:val="28"/>
          <w:szCs w:val="28"/>
        </w:rPr>
        <w:t>Monopterus</w:t>
      </w:r>
      <w:proofErr w:type="spellEnd"/>
      <w:r>
        <w:rPr>
          <w:rFonts w:eastAsia="仿宋_GB2312"/>
          <w:i/>
          <w:sz w:val="28"/>
          <w:szCs w:val="28"/>
        </w:rPr>
        <w:t xml:space="preserve"> albus</w:t>
      </w:r>
      <w:r>
        <w:rPr>
          <w:rFonts w:eastAsia="仿宋_GB2312"/>
          <w:sz w:val="28"/>
          <w:szCs w:val="28"/>
        </w:rPr>
        <w:t xml:space="preserve">) fed low fish </w:t>
      </w:r>
      <w:proofErr w:type="spellStart"/>
      <w:r>
        <w:rPr>
          <w:rFonts w:eastAsia="仿宋_GB2312"/>
          <w:sz w:val="28"/>
          <w:szCs w:val="28"/>
        </w:rPr>
        <w:t>mealdiets</w:t>
      </w:r>
      <w:proofErr w:type="spellEnd"/>
      <w:r>
        <w:rPr>
          <w:rFonts w:eastAsia="仿宋_GB2312"/>
          <w:sz w:val="28"/>
          <w:szCs w:val="28"/>
        </w:rPr>
        <w:t>. Aquaculture Research</w:t>
      </w:r>
      <w:r>
        <w:rPr>
          <w:rFonts w:eastAsia="仿宋_GB2312"/>
          <w:sz w:val="28"/>
          <w:szCs w:val="28"/>
        </w:rPr>
        <w:t>（中科院</w:t>
      </w:r>
      <w:r>
        <w:rPr>
          <w:rFonts w:eastAsia="仿宋_GB2312"/>
          <w:sz w:val="28"/>
          <w:szCs w:val="28"/>
        </w:rPr>
        <w:t>4</w:t>
      </w:r>
      <w:r>
        <w:rPr>
          <w:rFonts w:eastAsia="仿宋_GB2312"/>
          <w:sz w:val="28"/>
          <w:szCs w:val="28"/>
        </w:rPr>
        <w:t>区），</w:t>
      </w:r>
      <w:r>
        <w:rPr>
          <w:rFonts w:eastAsia="仿宋_GB2312"/>
          <w:sz w:val="28"/>
          <w:szCs w:val="28"/>
        </w:rPr>
        <w:t>2018</w:t>
      </w:r>
      <w:r>
        <w:rPr>
          <w:rFonts w:eastAsia="仿宋_GB2312"/>
          <w:sz w:val="28"/>
          <w:szCs w:val="28"/>
        </w:rPr>
        <w:t>，通讯作者；</w:t>
      </w:r>
    </w:p>
    <w:p w14:paraId="7E2B018A" w14:textId="77777777" w:rsidR="008B1F96" w:rsidRDefault="00000000">
      <w:pPr>
        <w:spacing w:line="580" w:lineRule="exact"/>
        <w:ind w:firstLineChars="200" w:firstLine="643"/>
        <w:outlineLvl w:val="1"/>
        <w:rPr>
          <w:rFonts w:eastAsia="仿宋_GB2312"/>
          <w:b/>
          <w:sz w:val="32"/>
          <w:szCs w:val="32"/>
        </w:rPr>
      </w:pPr>
      <w:r>
        <w:rPr>
          <w:rFonts w:eastAsia="仿宋_GB2312"/>
          <w:b/>
          <w:sz w:val="32"/>
          <w:szCs w:val="32"/>
        </w:rPr>
        <w:t>二、</w:t>
      </w:r>
      <w:r>
        <w:rPr>
          <w:rFonts w:ascii="Calibri" w:eastAsia="仿宋_GB2312" w:hAnsi="Calibri" w:cs="Calibri"/>
          <w:b/>
          <w:sz w:val="32"/>
          <w:szCs w:val="32"/>
        </w:rPr>
        <w:t>﻿</w:t>
      </w:r>
      <w:r>
        <w:rPr>
          <w:rFonts w:eastAsia="仿宋_GB2312"/>
          <w:b/>
          <w:sz w:val="32"/>
          <w:szCs w:val="32"/>
        </w:rPr>
        <w:t>专著</w:t>
      </w:r>
    </w:p>
    <w:p w14:paraId="232AA2D5"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 1. </w:t>
      </w:r>
      <w:r>
        <w:rPr>
          <w:rFonts w:eastAsia="仿宋_GB2312"/>
          <w:b/>
          <w:sz w:val="28"/>
          <w:szCs w:val="28"/>
        </w:rPr>
        <w:t>Mo Peng</w:t>
      </w:r>
      <w:r>
        <w:rPr>
          <w:rFonts w:eastAsia="仿宋_GB2312"/>
          <w:sz w:val="28"/>
          <w:szCs w:val="28"/>
        </w:rPr>
        <w:t xml:space="preserve">, </w:t>
      </w:r>
      <w:proofErr w:type="spellStart"/>
      <w:r>
        <w:rPr>
          <w:rFonts w:eastAsia="仿宋_GB2312"/>
          <w:sz w:val="28"/>
          <w:szCs w:val="28"/>
        </w:rPr>
        <w:t>Chunxiang</w:t>
      </w:r>
      <w:proofErr w:type="spellEnd"/>
      <w:r>
        <w:rPr>
          <w:rFonts w:eastAsia="仿宋_GB2312"/>
          <w:sz w:val="28"/>
          <w:szCs w:val="28"/>
        </w:rPr>
        <w:t xml:space="preserve"> Ai, Zhi Luo, </w:t>
      </w:r>
      <w:proofErr w:type="spellStart"/>
      <w:r>
        <w:rPr>
          <w:rFonts w:eastAsia="仿宋_GB2312"/>
          <w:sz w:val="28"/>
          <w:szCs w:val="28"/>
        </w:rPr>
        <w:t>Qinghui</w:t>
      </w:r>
      <w:proofErr w:type="spellEnd"/>
      <w:r>
        <w:rPr>
          <w:rFonts w:eastAsia="仿宋_GB2312"/>
          <w:sz w:val="28"/>
          <w:szCs w:val="28"/>
        </w:rPr>
        <w:t xml:space="preserve"> Ai (2021) Developing macroalgae and microalgae as feed for fish. In: </w:t>
      </w:r>
      <w:proofErr w:type="spellStart"/>
      <w:r>
        <w:rPr>
          <w:rFonts w:eastAsia="仿宋_GB2312"/>
          <w:sz w:val="28"/>
          <w:szCs w:val="28"/>
        </w:rPr>
        <w:t>Xingen</w:t>
      </w:r>
      <w:proofErr w:type="spellEnd"/>
      <w:r>
        <w:rPr>
          <w:rFonts w:eastAsia="仿宋_GB2312"/>
          <w:sz w:val="28"/>
          <w:szCs w:val="28"/>
        </w:rPr>
        <w:t xml:space="preserve"> Lei (Ed.), Seaweed and microalgae as alternative sources of protein (1st Edition). Cambridge: Burleigh Dodds Science Publishing. ISBN: 978-1- 78676- 620- 5.</w:t>
      </w:r>
    </w:p>
    <w:p w14:paraId="4078479E"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lastRenderedPageBreak/>
        <w:t xml:space="preserve">2. </w:t>
      </w:r>
      <w:r>
        <w:rPr>
          <w:rFonts w:eastAsia="仿宋_GB2312"/>
          <w:b/>
          <w:sz w:val="28"/>
          <w:szCs w:val="28"/>
        </w:rPr>
        <w:t>副主编</w:t>
      </w:r>
      <w:r>
        <w:rPr>
          <w:rFonts w:eastAsia="仿宋_GB2312"/>
          <w:sz w:val="28"/>
          <w:szCs w:val="28"/>
        </w:rPr>
        <w:t>(2020)</w:t>
      </w:r>
      <w:r>
        <w:rPr>
          <w:rFonts w:eastAsia="仿宋_GB2312"/>
          <w:sz w:val="28"/>
          <w:szCs w:val="28"/>
        </w:rPr>
        <w:t>，标准化水产养殖技术，江西科学技术出版社。</w:t>
      </w:r>
      <w:r>
        <w:rPr>
          <w:rFonts w:eastAsia="仿宋_GB2312"/>
          <w:sz w:val="28"/>
          <w:szCs w:val="28"/>
        </w:rPr>
        <w:t>ISBN: 977-7-5390-7506-8.</w:t>
      </w:r>
    </w:p>
    <w:p w14:paraId="7690E007" w14:textId="77777777" w:rsidR="008B1F96" w:rsidRDefault="00000000">
      <w:pPr>
        <w:spacing w:line="580" w:lineRule="exact"/>
        <w:ind w:firstLineChars="200" w:firstLine="643"/>
        <w:outlineLvl w:val="1"/>
        <w:rPr>
          <w:rFonts w:eastAsia="仿宋_GB2312"/>
          <w:b/>
          <w:sz w:val="32"/>
          <w:szCs w:val="32"/>
        </w:rPr>
      </w:pPr>
      <w:r>
        <w:rPr>
          <w:rFonts w:eastAsia="仿宋_GB2312"/>
          <w:b/>
          <w:sz w:val="32"/>
          <w:szCs w:val="32"/>
        </w:rPr>
        <w:t>三、主持和参与项目</w:t>
      </w:r>
    </w:p>
    <w:p w14:paraId="7EE6E00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（一）国家级项目（总</w:t>
      </w:r>
      <w:r>
        <w:rPr>
          <w:rFonts w:eastAsia="仿宋_GB2312"/>
          <w:sz w:val="28"/>
          <w:szCs w:val="28"/>
        </w:rPr>
        <w:t>5</w:t>
      </w:r>
      <w:r>
        <w:rPr>
          <w:rFonts w:eastAsia="仿宋_GB2312"/>
          <w:sz w:val="28"/>
          <w:szCs w:val="28"/>
        </w:rPr>
        <w:t>项，其中主持</w:t>
      </w:r>
      <w:r>
        <w:rPr>
          <w:rFonts w:eastAsia="仿宋_GB2312"/>
          <w:sz w:val="28"/>
          <w:szCs w:val="28"/>
        </w:rPr>
        <w:t>3</w:t>
      </w:r>
      <w:r>
        <w:rPr>
          <w:rFonts w:eastAsia="仿宋_GB2312"/>
          <w:sz w:val="28"/>
          <w:szCs w:val="28"/>
        </w:rPr>
        <w:t>项，参与</w:t>
      </w:r>
      <w:r>
        <w:rPr>
          <w:rFonts w:eastAsia="仿宋_GB2312"/>
          <w:sz w:val="28"/>
          <w:szCs w:val="28"/>
        </w:rPr>
        <w:t>2</w:t>
      </w:r>
      <w:r>
        <w:rPr>
          <w:rFonts w:eastAsia="仿宋_GB2312"/>
          <w:sz w:val="28"/>
          <w:szCs w:val="28"/>
        </w:rPr>
        <w:t>项）</w:t>
      </w:r>
    </w:p>
    <w:p w14:paraId="6ED3BFEA"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 </w:t>
      </w:r>
      <w:r>
        <w:rPr>
          <w:rFonts w:eastAsia="仿宋_GB2312"/>
          <w:sz w:val="28"/>
          <w:szCs w:val="28"/>
        </w:rPr>
        <w:t>国家自然基金面上项目：基于</w:t>
      </w:r>
      <w:proofErr w:type="gramStart"/>
      <w:r>
        <w:rPr>
          <w:rFonts w:eastAsia="仿宋_GB2312"/>
          <w:sz w:val="28"/>
          <w:szCs w:val="28"/>
        </w:rPr>
        <w:t>肠肝轴研究豆粕</w:t>
      </w:r>
      <w:proofErr w:type="gramEnd"/>
      <w:r>
        <w:rPr>
          <w:rFonts w:eastAsia="仿宋_GB2312"/>
          <w:sz w:val="28"/>
          <w:szCs w:val="28"/>
        </w:rPr>
        <w:t>诱发胆汁酸和脂肪分解代谢异常的作用机制（</w:t>
      </w:r>
      <w:r>
        <w:rPr>
          <w:rFonts w:eastAsia="仿宋_GB2312"/>
          <w:sz w:val="28"/>
          <w:szCs w:val="28"/>
        </w:rPr>
        <w:t>32072992</w:t>
      </w:r>
      <w:r>
        <w:rPr>
          <w:rFonts w:eastAsia="仿宋_GB2312"/>
          <w:sz w:val="28"/>
          <w:szCs w:val="28"/>
        </w:rPr>
        <w:t>），</w:t>
      </w:r>
      <w:r>
        <w:rPr>
          <w:rFonts w:eastAsia="仿宋_GB2312"/>
          <w:sz w:val="28"/>
          <w:szCs w:val="28"/>
        </w:rPr>
        <w:t>2021/01-2024/12</w:t>
      </w:r>
      <w:r>
        <w:rPr>
          <w:rFonts w:eastAsia="仿宋_GB2312"/>
          <w:sz w:val="28"/>
          <w:szCs w:val="28"/>
        </w:rPr>
        <w:t>，</w:t>
      </w:r>
      <w:r>
        <w:rPr>
          <w:rFonts w:eastAsia="仿宋_GB2312"/>
          <w:sz w:val="28"/>
          <w:szCs w:val="28"/>
        </w:rPr>
        <w:t>58</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 xml:space="preserve">, </w:t>
      </w:r>
      <w:r>
        <w:rPr>
          <w:rFonts w:eastAsia="仿宋_GB2312"/>
          <w:sz w:val="28"/>
          <w:szCs w:val="28"/>
        </w:rPr>
        <w:t>主持；</w:t>
      </w:r>
    </w:p>
    <w:p w14:paraId="5F4CB2F7"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2. </w:t>
      </w:r>
      <w:r>
        <w:rPr>
          <w:rFonts w:eastAsia="仿宋_GB2312"/>
          <w:sz w:val="28"/>
          <w:szCs w:val="28"/>
        </w:rPr>
        <w:t>国家自然科学基金地区项目：</w:t>
      </w:r>
      <w:r>
        <w:rPr>
          <w:rFonts w:eastAsia="仿宋_GB2312"/>
          <w:sz w:val="28"/>
          <w:szCs w:val="28"/>
        </w:rPr>
        <w:t>AMPKα/TBC1D1</w:t>
      </w:r>
      <w:r>
        <w:rPr>
          <w:rFonts w:eastAsia="仿宋_GB2312"/>
          <w:sz w:val="28"/>
          <w:szCs w:val="28"/>
        </w:rPr>
        <w:t>通路</w:t>
      </w:r>
      <w:proofErr w:type="gramStart"/>
      <w:r>
        <w:rPr>
          <w:rFonts w:eastAsia="仿宋_GB2312"/>
          <w:sz w:val="28"/>
          <w:szCs w:val="28"/>
        </w:rPr>
        <w:t>介</w:t>
      </w:r>
      <w:proofErr w:type="gramEnd"/>
      <w:r>
        <w:rPr>
          <w:rFonts w:eastAsia="仿宋_GB2312"/>
          <w:sz w:val="28"/>
          <w:szCs w:val="28"/>
        </w:rPr>
        <w:t>导黄鳝葡萄糖吸收调控分子机制的研究（</w:t>
      </w:r>
      <w:r>
        <w:rPr>
          <w:rFonts w:eastAsia="仿宋_GB2312"/>
          <w:sz w:val="28"/>
          <w:szCs w:val="28"/>
        </w:rPr>
        <w:t>31960732</w:t>
      </w:r>
      <w:r>
        <w:rPr>
          <w:rFonts w:eastAsia="仿宋_GB2312"/>
          <w:sz w:val="28"/>
          <w:szCs w:val="28"/>
        </w:rPr>
        <w:t>），</w:t>
      </w:r>
      <w:r>
        <w:rPr>
          <w:rFonts w:eastAsia="仿宋_GB2312"/>
          <w:sz w:val="28"/>
          <w:szCs w:val="28"/>
        </w:rPr>
        <w:t>2020/01-2023/12</w:t>
      </w:r>
      <w:r>
        <w:rPr>
          <w:rFonts w:eastAsia="仿宋_GB2312"/>
          <w:sz w:val="28"/>
          <w:szCs w:val="28"/>
        </w:rPr>
        <w:t>，</w:t>
      </w:r>
      <w:r>
        <w:rPr>
          <w:rFonts w:eastAsia="仿宋_GB2312"/>
          <w:sz w:val="28"/>
          <w:szCs w:val="28"/>
        </w:rPr>
        <w:t>39</w:t>
      </w:r>
      <w:r>
        <w:rPr>
          <w:rFonts w:eastAsia="仿宋_GB2312"/>
          <w:sz w:val="28"/>
          <w:szCs w:val="28"/>
        </w:rPr>
        <w:t>万，结题，主持；；</w:t>
      </w:r>
    </w:p>
    <w:p w14:paraId="25BAE62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3. </w:t>
      </w:r>
      <w:r>
        <w:rPr>
          <w:rFonts w:eastAsia="仿宋_GB2312"/>
          <w:sz w:val="28"/>
          <w:szCs w:val="28"/>
        </w:rPr>
        <w:t>国家自然科学基金青年项目：氧化鱼油通过</w:t>
      </w:r>
      <w:r>
        <w:rPr>
          <w:rFonts w:eastAsia="仿宋_GB2312"/>
          <w:sz w:val="28"/>
          <w:szCs w:val="28"/>
        </w:rPr>
        <w:t>AMPK</w:t>
      </w:r>
      <w:r>
        <w:rPr>
          <w:rFonts w:eastAsia="仿宋_GB2312"/>
          <w:sz w:val="28"/>
          <w:szCs w:val="28"/>
        </w:rPr>
        <w:t>信号通路调控黄鳝脂肪分解代谢的研究（</w:t>
      </w:r>
      <w:r>
        <w:rPr>
          <w:rFonts w:eastAsia="仿宋_GB2312"/>
          <w:sz w:val="28"/>
          <w:szCs w:val="28"/>
        </w:rPr>
        <w:t>31502175</w:t>
      </w:r>
      <w:r>
        <w:rPr>
          <w:rFonts w:eastAsia="仿宋_GB2312"/>
          <w:sz w:val="28"/>
          <w:szCs w:val="28"/>
        </w:rPr>
        <w:t>），</w:t>
      </w:r>
      <w:r>
        <w:rPr>
          <w:rFonts w:eastAsia="仿宋_GB2312"/>
          <w:sz w:val="28"/>
          <w:szCs w:val="28"/>
        </w:rPr>
        <w:t>2016/01-2018/12</w:t>
      </w:r>
      <w:r>
        <w:rPr>
          <w:rFonts w:eastAsia="仿宋_GB2312"/>
          <w:sz w:val="28"/>
          <w:szCs w:val="28"/>
        </w:rPr>
        <w:t>，</w:t>
      </w:r>
      <w:r>
        <w:rPr>
          <w:rFonts w:eastAsia="仿宋_GB2312"/>
          <w:sz w:val="28"/>
          <w:szCs w:val="28"/>
        </w:rPr>
        <w:t>22.8</w:t>
      </w:r>
      <w:r>
        <w:rPr>
          <w:rFonts w:eastAsia="仿宋_GB2312"/>
          <w:sz w:val="28"/>
          <w:szCs w:val="28"/>
        </w:rPr>
        <w:t>万，结题，主持；</w:t>
      </w:r>
    </w:p>
    <w:p w14:paraId="0E1D109C"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4. </w:t>
      </w:r>
      <w:r>
        <w:rPr>
          <w:rFonts w:eastAsia="仿宋_GB2312"/>
          <w:sz w:val="28"/>
          <w:szCs w:val="28"/>
        </w:rPr>
        <w:t>国家现代农业产业技术体系项目</w:t>
      </w:r>
      <w:r>
        <w:rPr>
          <w:rFonts w:eastAsia="仿宋_GB2312"/>
          <w:sz w:val="28"/>
          <w:szCs w:val="28"/>
        </w:rPr>
        <w:t>/</w:t>
      </w:r>
      <w:r>
        <w:rPr>
          <w:rFonts w:eastAsia="仿宋_GB2312"/>
          <w:sz w:val="28"/>
          <w:szCs w:val="28"/>
        </w:rPr>
        <w:t>国家特色淡水鱼产业技术体系</w:t>
      </w:r>
      <w:r>
        <w:rPr>
          <w:rFonts w:eastAsia="仿宋_GB2312"/>
          <w:sz w:val="28"/>
          <w:szCs w:val="28"/>
        </w:rPr>
        <w:t>(CARS-46):</w:t>
      </w:r>
      <w:proofErr w:type="gramStart"/>
      <w:r>
        <w:rPr>
          <w:rFonts w:eastAsia="仿宋_GB2312"/>
          <w:sz w:val="28"/>
          <w:szCs w:val="28"/>
        </w:rPr>
        <w:t>鳅鳝</w:t>
      </w:r>
      <w:proofErr w:type="gramEnd"/>
      <w:r>
        <w:rPr>
          <w:rFonts w:eastAsia="仿宋_GB2312"/>
          <w:sz w:val="28"/>
          <w:szCs w:val="28"/>
        </w:rPr>
        <w:t xml:space="preserve"> 2017/01-2020/12</w:t>
      </w:r>
      <w:r>
        <w:rPr>
          <w:rFonts w:eastAsia="仿宋_GB2312"/>
          <w:sz w:val="28"/>
          <w:szCs w:val="28"/>
        </w:rPr>
        <w:t>，</w:t>
      </w:r>
      <w:r>
        <w:rPr>
          <w:rFonts w:eastAsia="仿宋_GB2312"/>
          <w:sz w:val="28"/>
          <w:szCs w:val="28"/>
        </w:rPr>
        <w:t>280</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，参与（排名第</w:t>
      </w:r>
      <w:r>
        <w:rPr>
          <w:rFonts w:eastAsia="仿宋_GB2312"/>
          <w:sz w:val="28"/>
          <w:szCs w:val="28"/>
        </w:rPr>
        <w:t>3</w:t>
      </w:r>
      <w:r>
        <w:rPr>
          <w:rFonts w:eastAsia="仿宋_GB2312"/>
          <w:sz w:val="28"/>
          <w:szCs w:val="28"/>
        </w:rPr>
        <w:t>）；</w:t>
      </w:r>
    </w:p>
    <w:p w14:paraId="0C12F65C"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5. </w:t>
      </w:r>
      <w:r>
        <w:rPr>
          <w:rFonts w:eastAsia="仿宋_GB2312"/>
          <w:sz w:val="28"/>
          <w:szCs w:val="28"/>
        </w:rPr>
        <w:t>国家地区科学基金项目，</w:t>
      </w:r>
      <w:r>
        <w:rPr>
          <w:rFonts w:eastAsia="仿宋_GB2312"/>
          <w:sz w:val="28"/>
          <w:szCs w:val="28"/>
        </w:rPr>
        <w:t>Ala-Gln</w:t>
      </w:r>
      <w:r>
        <w:rPr>
          <w:rFonts w:eastAsia="仿宋_GB2312"/>
          <w:sz w:val="28"/>
          <w:szCs w:val="28"/>
        </w:rPr>
        <w:t>通过</w:t>
      </w:r>
      <w:proofErr w:type="spellStart"/>
      <w:r>
        <w:rPr>
          <w:rFonts w:eastAsia="仿宋_GB2312"/>
          <w:sz w:val="28"/>
          <w:szCs w:val="28"/>
        </w:rPr>
        <w:t>PPARγ</w:t>
      </w:r>
      <w:proofErr w:type="spellEnd"/>
      <w:r>
        <w:rPr>
          <w:rFonts w:eastAsia="仿宋_GB2312"/>
          <w:sz w:val="28"/>
          <w:szCs w:val="28"/>
        </w:rPr>
        <w:t>/NF-</w:t>
      </w:r>
      <w:proofErr w:type="spellStart"/>
      <w:r>
        <w:rPr>
          <w:rFonts w:eastAsia="仿宋_GB2312"/>
          <w:sz w:val="28"/>
          <w:szCs w:val="28"/>
        </w:rPr>
        <w:t>κB</w:t>
      </w:r>
      <w:proofErr w:type="spellEnd"/>
      <w:r>
        <w:rPr>
          <w:rFonts w:eastAsia="仿宋_GB2312"/>
          <w:sz w:val="28"/>
          <w:szCs w:val="28"/>
        </w:rPr>
        <w:t>信号通路对</w:t>
      </w:r>
      <w:r>
        <w:rPr>
          <w:rFonts w:eastAsia="仿宋_GB2312"/>
          <w:sz w:val="28"/>
          <w:szCs w:val="28"/>
        </w:rPr>
        <w:t>LPS</w:t>
      </w:r>
      <w:r>
        <w:rPr>
          <w:rFonts w:eastAsia="仿宋_GB2312"/>
          <w:sz w:val="28"/>
          <w:szCs w:val="28"/>
        </w:rPr>
        <w:t>免疫应激诱导的泥鳅肠道损伤的保护作用（</w:t>
      </w:r>
      <w:r>
        <w:rPr>
          <w:rFonts w:eastAsia="仿宋_GB2312"/>
          <w:sz w:val="28"/>
          <w:szCs w:val="28"/>
        </w:rPr>
        <w:t>31860732</w:t>
      </w:r>
      <w:r>
        <w:rPr>
          <w:rFonts w:eastAsia="仿宋_GB2312"/>
          <w:sz w:val="28"/>
          <w:szCs w:val="28"/>
        </w:rPr>
        <w:t>），</w:t>
      </w:r>
      <w:r>
        <w:rPr>
          <w:rFonts w:eastAsia="仿宋_GB2312"/>
          <w:sz w:val="28"/>
          <w:szCs w:val="28"/>
        </w:rPr>
        <w:t>2019/01-2022/12</w:t>
      </w:r>
      <w:r>
        <w:rPr>
          <w:rFonts w:eastAsia="仿宋_GB2312"/>
          <w:sz w:val="28"/>
          <w:szCs w:val="28"/>
        </w:rPr>
        <w:t>，</w:t>
      </w:r>
      <w:r>
        <w:rPr>
          <w:rFonts w:eastAsia="仿宋_GB2312"/>
          <w:sz w:val="28"/>
          <w:szCs w:val="28"/>
        </w:rPr>
        <w:t>38</w:t>
      </w:r>
      <w:r>
        <w:rPr>
          <w:rFonts w:eastAsia="仿宋_GB2312"/>
          <w:sz w:val="28"/>
          <w:szCs w:val="28"/>
        </w:rPr>
        <w:t>万，结题，参与（排名第</w:t>
      </w:r>
      <w:r>
        <w:rPr>
          <w:rFonts w:eastAsia="仿宋_GB2312"/>
          <w:sz w:val="28"/>
          <w:szCs w:val="28"/>
        </w:rPr>
        <w:t>4</w:t>
      </w:r>
      <w:r>
        <w:rPr>
          <w:rFonts w:eastAsia="仿宋_GB2312"/>
          <w:sz w:val="28"/>
          <w:szCs w:val="28"/>
        </w:rPr>
        <w:t>）</w:t>
      </w:r>
    </w:p>
    <w:p w14:paraId="4E81D80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（二）省部级项目（总</w:t>
      </w:r>
      <w:r>
        <w:rPr>
          <w:rFonts w:eastAsia="仿宋_GB2312"/>
          <w:sz w:val="28"/>
          <w:szCs w:val="28"/>
        </w:rPr>
        <w:t>12</w:t>
      </w:r>
      <w:r>
        <w:rPr>
          <w:rFonts w:eastAsia="仿宋_GB2312"/>
          <w:sz w:val="28"/>
          <w:szCs w:val="28"/>
        </w:rPr>
        <w:t>项，其中主持</w:t>
      </w:r>
      <w:r>
        <w:rPr>
          <w:rFonts w:eastAsia="仿宋_GB2312"/>
          <w:sz w:val="28"/>
          <w:szCs w:val="28"/>
        </w:rPr>
        <w:t>7</w:t>
      </w:r>
      <w:r>
        <w:rPr>
          <w:rFonts w:eastAsia="仿宋_GB2312"/>
          <w:sz w:val="28"/>
          <w:szCs w:val="28"/>
        </w:rPr>
        <w:t>项，参与</w:t>
      </w:r>
      <w:r>
        <w:rPr>
          <w:rFonts w:eastAsia="仿宋_GB2312"/>
          <w:sz w:val="28"/>
          <w:szCs w:val="28"/>
        </w:rPr>
        <w:t>5</w:t>
      </w:r>
      <w:r>
        <w:rPr>
          <w:rFonts w:eastAsia="仿宋_GB2312"/>
          <w:sz w:val="28"/>
          <w:szCs w:val="28"/>
        </w:rPr>
        <w:t>项）</w:t>
      </w:r>
    </w:p>
    <w:p w14:paraId="664A4024"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5. </w:t>
      </w:r>
      <w:r>
        <w:rPr>
          <w:rFonts w:eastAsia="仿宋_GB2312"/>
          <w:sz w:val="28"/>
          <w:szCs w:val="28"/>
        </w:rPr>
        <w:t>江西省</w:t>
      </w:r>
      <w:r>
        <w:rPr>
          <w:rFonts w:eastAsia="仿宋_GB2312"/>
          <w:sz w:val="28"/>
          <w:szCs w:val="28"/>
        </w:rPr>
        <w:t>“</w:t>
      </w:r>
      <w:r>
        <w:rPr>
          <w:rFonts w:eastAsia="仿宋_GB2312"/>
          <w:sz w:val="28"/>
          <w:szCs w:val="28"/>
        </w:rPr>
        <w:t>双千计划</w:t>
      </w:r>
      <w:r>
        <w:rPr>
          <w:rFonts w:eastAsia="仿宋_GB2312"/>
          <w:sz w:val="28"/>
          <w:szCs w:val="28"/>
        </w:rPr>
        <w:t>”</w:t>
      </w:r>
      <w:r>
        <w:rPr>
          <w:rFonts w:eastAsia="仿宋_GB2312"/>
          <w:sz w:val="28"/>
          <w:szCs w:val="28"/>
        </w:rPr>
        <w:t>首批培养类项目（自然科学类）科技创新高端人才（青年）项目：</w:t>
      </w:r>
      <w:r>
        <w:rPr>
          <w:rFonts w:eastAsia="仿宋_GB2312"/>
          <w:sz w:val="28"/>
          <w:szCs w:val="28"/>
        </w:rPr>
        <w:t>Irisin</w:t>
      </w:r>
      <w:r>
        <w:rPr>
          <w:rFonts w:eastAsia="仿宋_GB2312"/>
          <w:sz w:val="28"/>
          <w:szCs w:val="28"/>
        </w:rPr>
        <w:t>调控黄鳝糖脂代谢的机制研究（</w:t>
      </w:r>
      <w:r>
        <w:rPr>
          <w:rFonts w:eastAsia="仿宋_GB2312"/>
          <w:sz w:val="28"/>
          <w:szCs w:val="28"/>
        </w:rPr>
        <w:t>jxsq2019201081</w:t>
      </w:r>
      <w:r>
        <w:rPr>
          <w:rFonts w:eastAsia="仿宋_GB2312"/>
          <w:sz w:val="28"/>
          <w:szCs w:val="28"/>
        </w:rPr>
        <w:t>），</w:t>
      </w:r>
      <w:r>
        <w:rPr>
          <w:rFonts w:eastAsia="仿宋_GB2312"/>
          <w:sz w:val="28"/>
          <w:szCs w:val="28"/>
        </w:rPr>
        <w:t>2020/01-2024/12</w:t>
      </w:r>
      <w:r>
        <w:rPr>
          <w:rFonts w:eastAsia="仿宋_GB2312"/>
          <w:sz w:val="28"/>
          <w:szCs w:val="28"/>
        </w:rPr>
        <w:t>，</w:t>
      </w:r>
      <w:r>
        <w:rPr>
          <w:rFonts w:eastAsia="仿宋_GB2312"/>
          <w:sz w:val="28"/>
          <w:szCs w:val="28"/>
        </w:rPr>
        <w:t>100</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，主持；</w:t>
      </w:r>
    </w:p>
    <w:p w14:paraId="07F84A64"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6. </w:t>
      </w:r>
      <w:r>
        <w:rPr>
          <w:rFonts w:eastAsia="仿宋_GB2312"/>
          <w:sz w:val="28"/>
          <w:szCs w:val="28"/>
        </w:rPr>
        <w:t>江西省农业关键核心技术攻关课题二：草鱼高效饲料及精准投喂技术（</w:t>
      </w:r>
      <w:r>
        <w:rPr>
          <w:rFonts w:eastAsia="仿宋_GB2312"/>
          <w:sz w:val="28"/>
          <w:szCs w:val="28"/>
        </w:rPr>
        <w:t>JXNK20230502</w:t>
      </w:r>
      <w:r>
        <w:rPr>
          <w:rFonts w:eastAsia="仿宋_GB2312"/>
          <w:sz w:val="28"/>
          <w:szCs w:val="28"/>
        </w:rPr>
        <w:t>），</w:t>
      </w:r>
      <w:r>
        <w:rPr>
          <w:rFonts w:eastAsia="仿宋_GB2312"/>
          <w:sz w:val="28"/>
          <w:szCs w:val="28"/>
        </w:rPr>
        <w:t>2023/06-2025/12, 270</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，主持；</w:t>
      </w:r>
    </w:p>
    <w:p w14:paraId="5B4A967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lastRenderedPageBreak/>
        <w:t xml:space="preserve">7. </w:t>
      </w:r>
      <w:r>
        <w:rPr>
          <w:rFonts w:eastAsia="仿宋_GB2312"/>
          <w:sz w:val="28"/>
          <w:szCs w:val="28"/>
        </w:rPr>
        <w:t>中央引导地方科技发展专项资金（自由探索类基础研究</w:t>
      </w:r>
      <w:r>
        <w:rPr>
          <w:rFonts w:eastAsia="仿宋_GB2312"/>
          <w:sz w:val="28"/>
          <w:szCs w:val="28"/>
        </w:rPr>
        <w:t>-</w:t>
      </w:r>
      <w:r>
        <w:rPr>
          <w:rFonts w:eastAsia="仿宋_GB2312"/>
          <w:sz w:val="28"/>
          <w:szCs w:val="28"/>
        </w:rPr>
        <w:t>国家自然科学</w:t>
      </w:r>
      <w:proofErr w:type="gramStart"/>
      <w:r>
        <w:rPr>
          <w:rFonts w:eastAsia="仿宋_GB2312"/>
          <w:sz w:val="28"/>
          <w:szCs w:val="28"/>
        </w:rPr>
        <w:t>基金优青培育</w:t>
      </w:r>
      <w:proofErr w:type="gramEnd"/>
      <w:r>
        <w:rPr>
          <w:rFonts w:eastAsia="仿宋_GB2312"/>
          <w:sz w:val="28"/>
          <w:szCs w:val="28"/>
        </w:rPr>
        <w:t>项目）</w:t>
      </w:r>
      <w:r>
        <w:rPr>
          <w:rFonts w:eastAsia="仿宋_GB2312"/>
          <w:sz w:val="28"/>
          <w:szCs w:val="28"/>
        </w:rPr>
        <w:t>: Irisin</w:t>
      </w:r>
      <w:r>
        <w:rPr>
          <w:rFonts w:eastAsia="仿宋_GB2312"/>
          <w:sz w:val="28"/>
          <w:szCs w:val="28"/>
        </w:rPr>
        <w:t>、</w:t>
      </w:r>
      <w:r>
        <w:rPr>
          <w:rFonts w:eastAsia="仿宋_GB2312"/>
          <w:sz w:val="28"/>
          <w:szCs w:val="28"/>
        </w:rPr>
        <w:t>AMPKα/FoxO1</w:t>
      </w:r>
      <w:r>
        <w:rPr>
          <w:rFonts w:eastAsia="仿宋_GB2312"/>
          <w:sz w:val="28"/>
          <w:szCs w:val="28"/>
        </w:rPr>
        <w:t>调控黄鳝糖异生分子机制的研究（</w:t>
      </w:r>
      <w:r>
        <w:rPr>
          <w:rFonts w:eastAsia="仿宋_GB2312"/>
          <w:sz w:val="28"/>
          <w:szCs w:val="28"/>
        </w:rPr>
        <w:t>S2020ZYTSB0022</w:t>
      </w:r>
      <w:r>
        <w:rPr>
          <w:rFonts w:eastAsia="仿宋_GB2312"/>
          <w:sz w:val="28"/>
          <w:szCs w:val="28"/>
        </w:rPr>
        <w:t>），</w:t>
      </w:r>
      <w:r>
        <w:rPr>
          <w:rFonts w:eastAsia="仿宋_GB2312"/>
          <w:sz w:val="28"/>
          <w:szCs w:val="28"/>
        </w:rPr>
        <w:t>2020/01-2020/12</w:t>
      </w:r>
      <w:r>
        <w:rPr>
          <w:rFonts w:eastAsia="仿宋_GB2312"/>
          <w:sz w:val="28"/>
          <w:szCs w:val="28"/>
        </w:rPr>
        <w:t>，</w:t>
      </w:r>
      <w:r>
        <w:rPr>
          <w:rFonts w:eastAsia="仿宋_GB2312"/>
          <w:sz w:val="28"/>
          <w:szCs w:val="28"/>
        </w:rPr>
        <w:t>25</w:t>
      </w:r>
      <w:r>
        <w:rPr>
          <w:rFonts w:eastAsia="仿宋_GB2312"/>
          <w:sz w:val="28"/>
          <w:szCs w:val="28"/>
        </w:rPr>
        <w:t>万，结题，主持；</w:t>
      </w:r>
    </w:p>
    <w:p w14:paraId="577A957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8. </w:t>
      </w:r>
      <w:r>
        <w:rPr>
          <w:rFonts w:eastAsia="仿宋_GB2312"/>
          <w:sz w:val="28"/>
          <w:szCs w:val="28"/>
        </w:rPr>
        <w:t>江西省青年科学基金重大项目：草鱼脂肪沉积机理探究及其调控机制的研究（</w:t>
      </w:r>
      <w:r>
        <w:rPr>
          <w:rFonts w:eastAsia="仿宋_GB2312"/>
          <w:sz w:val="28"/>
          <w:szCs w:val="28"/>
        </w:rPr>
        <w:t>20152ACB21010</w:t>
      </w:r>
      <w:r>
        <w:rPr>
          <w:rFonts w:eastAsia="仿宋_GB2312"/>
          <w:sz w:val="28"/>
          <w:szCs w:val="28"/>
        </w:rPr>
        <w:t>），</w:t>
      </w:r>
      <w:r>
        <w:rPr>
          <w:rFonts w:eastAsia="仿宋_GB2312"/>
          <w:sz w:val="28"/>
          <w:szCs w:val="28"/>
        </w:rPr>
        <w:t>2015/01-2018/12</w:t>
      </w:r>
      <w:r>
        <w:rPr>
          <w:rFonts w:eastAsia="仿宋_GB2312"/>
          <w:sz w:val="28"/>
          <w:szCs w:val="28"/>
        </w:rPr>
        <w:t>，</w:t>
      </w:r>
      <w:r>
        <w:rPr>
          <w:rFonts w:eastAsia="仿宋_GB2312"/>
          <w:sz w:val="28"/>
          <w:szCs w:val="28"/>
        </w:rPr>
        <w:t>20</w:t>
      </w:r>
      <w:r>
        <w:rPr>
          <w:rFonts w:eastAsia="仿宋_GB2312"/>
          <w:sz w:val="28"/>
          <w:szCs w:val="28"/>
        </w:rPr>
        <w:t>万，结题，主持；</w:t>
      </w:r>
    </w:p>
    <w:p w14:paraId="14C5C2D7"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9. </w:t>
      </w:r>
      <w:r>
        <w:rPr>
          <w:rFonts w:eastAsia="仿宋_GB2312"/>
          <w:sz w:val="28"/>
          <w:szCs w:val="28"/>
        </w:rPr>
        <w:t>国家留学基金委面上项目：冷水性鱼类脂肪代谢的研究（</w:t>
      </w:r>
      <w:r>
        <w:rPr>
          <w:rFonts w:eastAsia="仿宋_GB2312"/>
          <w:sz w:val="28"/>
          <w:szCs w:val="28"/>
        </w:rPr>
        <w:t>201908360025</w:t>
      </w:r>
      <w:r>
        <w:rPr>
          <w:rFonts w:eastAsia="仿宋_GB2312"/>
          <w:sz w:val="28"/>
          <w:szCs w:val="28"/>
        </w:rPr>
        <w:t>），</w:t>
      </w:r>
      <w:r>
        <w:rPr>
          <w:rFonts w:eastAsia="仿宋_GB2312"/>
          <w:sz w:val="28"/>
          <w:szCs w:val="28"/>
        </w:rPr>
        <w:t>2019/01-2019/12</w:t>
      </w:r>
      <w:r>
        <w:rPr>
          <w:rFonts w:eastAsia="仿宋_GB2312"/>
          <w:sz w:val="28"/>
          <w:szCs w:val="28"/>
        </w:rPr>
        <w:t>，</w:t>
      </w:r>
      <w:r>
        <w:rPr>
          <w:rFonts w:eastAsia="仿宋_GB2312"/>
          <w:sz w:val="28"/>
          <w:szCs w:val="28"/>
        </w:rPr>
        <w:t>15.96</w:t>
      </w:r>
      <w:r>
        <w:rPr>
          <w:rFonts w:eastAsia="仿宋_GB2312"/>
          <w:sz w:val="28"/>
          <w:szCs w:val="28"/>
        </w:rPr>
        <w:t>万，结题，主持；</w:t>
      </w:r>
    </w:p>
    <w:p w14:paraId="01D0713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10. </w:t>
      </w:r>
      <w:r>
        <w:rPr>
          <w:rFonts w:eastAsia="仿宋_GB2312"/>
          <w:sz w:val="28"/>
          <w:szCs w:val="28"/>
        </w:rPr>
        <w:t>江西省博士后择优资助项目：草鱼脂肪转运机制的研究（</w:t>
      </w:r>
      <w:r>
        <w:rPr>
          <w:rFonts w:eastAsia="仿宋_GB2312"/>
          <w:sz w:val="28"/>
          <w:szCs w:val="28"/>
        </w:rPr>
        <w:t>2017KY34</w:t>
      </w:r>
      <w:r>
        <w:rPr>
          <w:rFonts w:eastAsia="仿宋_GB2312"/>
          <w:sz w:val="28"/>
          <w:szCs w:val="28"/>
        </w:rPr>
        <w:t>），</w:t>
      </w:r>
      <w:r>
        <w:rPr>
          <w:rFonts w:eastAsia="仿宋_GB2312"/>
          <w:sz w:val="28"/>
          <w:szCs w:val="28"/>
        </w:rPr>
        <w:t>2017/01-2019/12</w:t>
      </w:r>
      <w:r>
        <w:rPr>
          <w:rFonts w:eastAsia="仿宋_GB2312"/>
          <w:sz w:val="28"/>
          <w:szCs w:val="28"/>
        </w:rPr>
        <w:t>，</w:t>
      </w:r>
      <w:r>
        <w:rPr>
          <w:rFonts w:eastAsia="仿宋_GB2312"/>
          <w:sz w:val="28"/>
          <w:szCs w:val="28"/>
        </w:rPr>
        <w:t>3</w:t>
      </w:r>
      <w:r>
        <w:rPr>
          <w:rFonts w:eastAsia="仿宋_GB2312"/>
          <w:sz w:val="28"/>
          <w:szCs w:val="28"/>
        </w:rPr>
        <w:t>万，结题，主持；</w:t>
      </w:r>
    </w:p>
    <w:p w14:paraId="349362C2"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11. </w:t>
      </w:r>
      <w:r>
        <w:rPr>
          <w:rFonts w:eastAsia="仿宋_GB2312"/>
          <w:sz w:val="28"/>
          <w:szCs w:val="28"/>
        </w:rPr>
        <w:t>江西省大宗淡水鱼产业技术体系，养殖与工程设施岗位，</w:t>
      </w:r>
      <w:r>
        <w:rPr>
          <w:rFonts w:eastAsia="仿宋_GB2312"/>
          <w:sz w:val="28"/>
          <w:szCs w:val="28"/>
        </w:rPr>
        <w:t>2023/01-2025/12</w:t>
      </w:r>
      <w:r>
        <w:rPr>
          <w:rFonts w:eastAsia="仿宋_GB2312"/>
          <w:sz w:val="28"/>
          <w:szCs w:val="28"/>
        </w:rPr>
        <w:t>，</w:t>
      </w:r>
      <w:r>
        <w:rPr>
          <w:rFonts w:eastAsia="仿宋_GB2312"/>
          <w:sz w:val="28"/>
          <w:szCs w:val="28"/>
        </w:rPr>
        <w:t>90</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，参与（排名第</w:t>
      </w:r>
      <w:r>
        <w:rPr>
          <w:rFonts w:eastAsia="仿宋_GB2312"/>
          <w:sz w:val="28"/>
          <w:szCs w:val="28"/>
        </w:rPr>
        <w:t>4</w:t>
      </w:r>
      <w:r>
        <w:rPr>
          <w:rFonts w:eastAsia="仿宋_GB2312"/>
          <w:sz w:val="28"/>
          <w:szCs w:val="28"/>
        </w:rPr>
        <w:t>）；</w:t>
      </w:r>
    </w:p>
    <w:p w14:paraId="639F45F1"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12. </w:t>
      </w:r>
      <w:r>
        <w:rPr>
          <w:rFonts w:eastAsia="仿宋_GB2312"/>
          <w:sz w:val="28"/>
          <w:szCs w:val="28"/>
        </w:rPr>
        <w:t>江西现代农业科研协同创新专项子课题，草鱼高效环保饲料开发和精准投喂技术研究，</w:t>
      </w:r>
      <w:r>
        <w:rPr>
          <w:rFonts w:eastAsia="仿宋_GB2312"/>
          <w:sz w:val="28"/>
          <w:szCs w:val="28"/>
        </w:rPr>
        <w:t>2017/01-2019/12</w:t>
      </w:r>
      <w:r>
        <w:rPr>
          <w:rFonts w:eastAsia="仿宋_GB2312"/>
          <w:sz w:val="28"/>
          <w:szCs w:val="28"/>
        </w:rPr>
        <w:t>，</w:t>
      </w:r>
      <w:r>
        <w:rPr>
          <w:rFonts w:eastAsia="仿宋_GB2312"/>
          <w:sz w:val="28"/>
          <w:szCs w:val="28"/>
        </w:rPr>
        <w:t>40</w:t>
      </w:r>
      <w:r>
        <w:rPr>
          <w:rFonts w:eastAsia="仿宋_GB2312"/>
          <w:sz w:val="28"/>
          <w:szCs w:val="28"/>
        </w:rPr>
        <w:t>万，结题，参与（排名第</w:t>
      </w:r>
      <w:r>
        <w:rPr>
          <w:rFonts w:eastAsia="仿宋_GB2312"/>
          <w:sz w:val="28"/>
          <w:szCs w:val="28"/>
        </w:rPr>
        <w:t>6</w:t>
      </w:r>
      <w:r>
        <w:rPr>
          <w:rFonts w:eastAsia="仿宋_GB2312"/>
          <w:sz w:val="28"/>
          <w:szCs w:val="28"/>
        </w:rPr>
        <w:t>）；</w:t>
      </w:r>
    </w:p>
    <w:p w14:paraId="704B0ED5"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13. </w:t>
      </w:r>
      <w:r>
        <w:rPr>
          <w:rFonts w:eastAsia="仿宋_GB2312"/>
          <w:sz w:val="28"/>
          <w:szCs w:val="28"/>
        </w:rPr>
        <w:t>江西省重点研发计划项目：新型高效环保饲料在彭泽鲫上的开发（</w:t>
      </w:r>
      <w:r>
        <w:rPr>
          <w:rFonts w:eastAsia="仿宋_GB2312"/>
          <w:sz w:val="28"/>
          <w:szCs w:val="28"/>
        </w:rPr>
        <w:t>20161BBF60055</w:t>
      </w:r>
      <w:r>
        <w:rPr>
          <w:rFonts w:eastAsia="仿宋_GB2312"/>
          <w:sz w:val="28"/>
          <w:szCs w:val="28"/>
        </w:rPr>
        <w:t>），</w:t>
      </w:r>
      <w:r>
        <w:rPr>
          <w:rFonts w:eastAsia="仿宋_GB2312"/>
          <w:sz w:val="28"/>
          <w:szCs w:val="28"/>
        </w:rPr>
        <w:t>2016/01-2018/12</w:t>
      </w:r>
      <w:r>
        <w:rPr>
          <w:rFonts w:eastAsia="仿宋_GB2312"/>
          <w:sz w:val="28"/>
          <w:szCs w:val="28"/>
        </w:rPr>
        <w:t>，</w:t>
      </w:r>
      <w:r>
        <w:rPr>
          <w:rFonts w:eastAsia="仿宋_GB2312"/>
          <w:sz w:val="28"/>
          <w:szCs w:val="28"/>
        </w:rPr>
        <w:t>10</w:t>
      </w:r>
      <w:r>
        <w:rPr>
          <w:rFonts w:eastAsia="仿宋_GB2312"/>
          <w:sz w:val="28"/>
          <w:szCs w:val="28"/>
        </w:rPr>
        <w:t>万，结题，参与（排名第</w:t>
      </w:r>
      <w:r>
        <w:rPr>
          <w:rFonts w:eastAsia="仿宋_GB2312"/>
          <w:sz w:val="28"/>
          <w:szCs w:val="28"/>
        </w:rPr>
        <w:t>2</w:t>
      </w:r>
      <w:r>
        <w:rPr>
          <w:rFonts w:eastAsia="仿宋_GB2312"/>
          <w:sz w:val="28"/>
          <w:szCs w:val="28"/>
        </w:rPr>
        <w:t>）；</w:t>
      </w:r>
    </w:p>
    <w:p w14:paraId="0A84EAE2"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14. </w:t>
      </w:r>
      <w:r>
        <w:rPr>
          <w:rFonts w:eastAsia="仿宋_GB2312"/>
          <w:sz w:val="28"/>
          <w:szCs w:val="28"/>
        </w:rPr>
        <w:t>江西省科技计划项目重点项目（星火计划）：</w:t>
      </w:r>
      <w:proofErr w:type="gramStart"/>
      <w:r>
        <w:rPr>
          <w:rFonts w:eastAsia="仿宋_GB2312"/>
          <w:sz w:val="28"/>
          <w:szCs w:val="28"/>
        </w:rPr>
        <w:t>萍乡红鲫苗种</w:t>
      </w:r>
      <w:proofErr w:type="gramEnd"/>
      <w:r>
        <w:rPr>
          <w:rFonts w:eastAsia="仿宋_GB2312"/>
          <w:sz w:val="28"/>
          <w:szCs w:val="28"/>
        </w:rPr>
        <w:t>繁育及生态健康养殖技术集成与示范推广（</w:t>
      </w:r>
      <w:r>
        <w:rPr>
          <w:rFonts w:eastAsia="仿宋_GB2312"/>
          <w:sz w:val="28"/>
          <w:szCs w:val="28"/>
        </w:rPr>
        <w:t>20151BBF61085</w:t>
      </w:r>
      <w:r>
        <w:rPr>
          <w:rFonts w:eastAsia="仿宋_GB2312"/>
          <w:sz w:val="28"/>
          <w:szCs w:val="28"/>
        </w:rPr>
        <w:t>），</w:t>
      </w:r>
      <w:r>
        <w:rPr>
          <w:rFonts w:eastAsia="仿宋_GB2312"/>
          <w:sz w:val="28"/>
          <w:szCs w:val="28"/>
        </w:rPr>
        <w:t>2015/01-2015/12</w:t>
      </w:r>
      <w:r>
        <w:rPr>
          <w:rFonts w:eastAsia="仿宋_GB2312"/>
          <w:sz w:val="28"/>
          <w:szCs w:val="28"/>
        </w:rPr>
        <w:t>，</w:t>
      </w:r>
      <w:r>
        <w:rPr>
          <w:rFonts w:eastAsia="仿宋_GB2312"/>
          <w:sz w:val="28"/>
          <w:szCs w:val="28"/>
        </w:rPr>
        <w:t>30</w:t>
      </w:r>
      <w:r>
        <w:rPr>
          <w:rFonts w:eastAsia="仿宋_GB2312"/>
          <w:sz w:val="28"/>
          <w:szCs w:val="28"/>
        </w:rPr>
        <w:t>万，结题，参与（排名第</w:t>
      </w:r>
      <w:r>
        <w:rPr>
          <w:rFonts w:eastAsia="仿宋_GB2312"/>
          <w:sz w:val="28"/>
          <w:szCs w:val="28"/>
        </w:rPr>
        <w:t>3</w:t>
      </w:r>
      <w:r>
        <w:rPr>
          <w:rFonts w:eastAsia="仿宋_GB2312"/>
          <w:sz w:val="28"/>
          <w:szCs w:val="28"/>
        </w:rPr>
        <w:t>）。</w:t>
      </w:r>
    </w:p>
    <w:p w14:paraId="283389F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（三）企业项目（</w:t>
      </w:r>
      <w:r>
        <w:rPr>
          <w:rFonts w:eastAsia="仿宋_GB2312"/>
          <w:sz w:val="28"/>
          <w:szCs w:val="28"/>
        </w:rPr>
        <w:t>2</w:t>
      </w:r>
      <w:r>
        <w:rPr>
          <w:rFonts w:eastAsia="仿宋_GB2312"/>
          <w:sz w:val="28"/>
          <w:szCs w:val="28"/>
        </w:rPr>
        <w:t>项）</w:t>
      </w:r>
    </w:p>
    <w:p w14:paraId="5C4176FD"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15. </w:t>
      </w:r>
      <w:r>
        <w:rPr>
          <w:rFonts w:eastAsia="仿宋_GB2312"/>
          <w:sz w:val="28"/>
          <w:szCs w:val="28"/>
        </w:rPr>
        <w:t>深圳市澳华集团股份有限公司：中规格</w:t>
      </w:r>
      <w:proofErr w:type="gramStart"/>
      <w:r>
        <w:rPr>
          <w:rFonts w:eastAsia="仿宋_GB2312"/>
          <w:sz w:val="28"/>
          <w:szCs w:val="28"/>
        </w:rPr>
        <w:t>鳙</w:t>
      </w:r>
      <w:proofErr w:type="gramEnd"/>
      <w:r>
        <w:rPr>
          <w:rFonts w:eastAsia="仿宋_GB2312"/>
          <w:sz w:val="28"/>
          <w:szCs w:val="28"/>
        </w:rPr>
        <w:t>饲料基础营养研究，</w:t>
      </w:r>
      <w:r>
        <w:rPr>
          <w:rFonts w:eastAsia="仿宋_GB2312"/>
          <w:sz w:val="28"/>
          <w:szCs w:val="28"/>
        </w:rPr>
        <w:lastRenderedPageBreak/>
        <w:t>2023/05-2025/12</w:t>
      </w:r>
      <w:r>
        <w:rPr>
          <w:rFonts w:eastAsia="仿宋_GB2312"/>
          <w:sz w:val="28"/>
          <w:szCs w:val="28"/>
        </w:rPr>
        <w:t>，</w:t>
      </w:r>
      <w:r>
        <w:rPr>
          <w:rFonts w:eastAsia="仿宋_GB2312"/>
          <w:sz w:val="28"/>
          <w:szCs w:val="28"/>
        </w:rPr>
        <w:t>24</w:t>
      </w:r>
      <w:r>
        <w:rPr>
          <w:rFonts w:eastAsia="仿宋_GB2312"/>
          <w:sz w:val="28"/>
          <w:szCs w:val="28"/>
        </w:rPr>
        <w:t>万，在</w:t>
      </w:r>
      <w:proofErr w:type="gramStart"/>
      <w:r>
        <w:rPr>
          <w:rFonts w:eastAsia="仿宋_GB2312"/>
          <w:sz w:val="28"/>
          <w:szCs w:val="28"/>
        </w:rPr>
        <w:t>研</w:t>
      </w:r>
      <w:proofErr w:type="gramEnd"/>
      <w:r>
        <w:rPr>
          <w:rFonts w:eastAsia="仿宋_GB2312"/>
          <w:sz w:val="28"/>
          <w:szCs w:val="28"/>
        </w:rPr>
        <w:t>，主持；</w:t>
      </w:r>
    </w:p>
    <w:p w14:paraId="67A86683" w14:textId="77777777" w:rsidR="008B1F96" w:rsidRDefault="00000000">
      <w:pPr>
        <w:spacing w:line="580" w:lineRule="exact"/>
        <w:ind w:firstLineChars="200" w:firstLine="560"/>
        <w:outlineLvl w:val="1"/>
        <w:rPr>
          <w:rFonts w:eastAsia="仿宋_GB2312"/>
          <w:sz w:val="28"/>
          <w:szCs w:val="28"/>
        </w:rPr>
      </w:pPr>
      <w:r>
        <w:rPr>
          <w:rFonts w:eastAsia="仿宋_GB2312"/>
          <w:sz w:val="28"/>
          <w:szCs w:val="28"/>
        </w:rPr>
        <w:t xml:space="preserve">16. </w:t>
      </w:r>
      <w:r>
        <w:rPr>
          <w:rFonts w:eastAsia="仿宋_GB2312"/>
          <w:sz w:val="28"/>
          <w:szCs w:val="28"/>
        </w:rPr>
        <w:t>北京天富来生物科技有限公司：因普安添加在黄鳝养殖上的应用探究，</w:t>
      </w:r>
      <w:r>
        <w:rPr>
          <w:rFonts w:eastAsia="仿宋_GB2312"/>
          <w:sz w:val="28"/>
          <w:szCs w:val="28"/>
        </w:rPr>
        <w:t>2021/07-2022/05</w:t>
      </w:r>
      <w:r>
        <w:rPr>
          <w:rFonts w:eastAsia="仿宋_GB2312"/>
          <w:sz w:val="28"/>
          <w:szCs w:val="28"/>
        </w:rPr>
        <w:t>，</w:t>
      </w:r>
      <w:r>
        <w:rPr>
          <w:rFonts w:eastAsia="仿宋_GB2312"/>
          <w:sz w:val="28"/>
          <w:szCs w:val="28"/>
        </w:rPr>
        <w:t>5.4</w:t>
      </w:r>
      <w:r>
        <w:rPr>
          <w:rFonts w:eastAsia="仿宋_GB2312"/>
          <w:sz w:val="28"/>
          <w:szCs w:val="28"/>
        </w:rPr>
        <w:t>万，结题，主持。</w:t>
      </w:r>
    </w:p>
    <w:sectPr w:rsidR="008B1F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183"/>
    <w:rsid w:val="000043CD"/>
    <w:rsid w:val="000326EA"/>
    <w:rsid w:val="000548D4"/>
    <w:rsid w:val="00062837"/>
    <w:rsid w:val="0007483C"/>
    <w:rsid w:val="0008258A"/>
    <w:rsid w:val="000837D1"/>
    <w:rsid w:val="00087E96"/>
    <w:rsid w:val="000D5BCA"/>
    <w:rsid w:val="000E3320"/>
    <w:rsid w:val="000F4409"/>
    <w:rsid w:val="00117EC6"/>
    <w:rsid w:val="0013301A"/>
    <w:rsid w:val="001361CE"/>
    <w:rsid w:val="001706A3"/>
    <w:rsid w:val="00170F97"/>
    <w:rsid w:val="00173CBB"/>
    <w:rsid w:val="00177399"/>
    <w:rsid w:val="001775D5"/>
    <w:rsid w:val="00185B75"/>
    <w:rsid w:val="001A40DC"/>
    <w:rsid w:val="001A6C67"/>
    <w:rsid w:val="001A6EAE"/>
    <w:rsid w:val="001E0289"/>
    <w:rsid w:val="002004FD"/>
    <w:rsid w:val="00205A31"/>
    <w:rsid w:val="00211064"/>
    <w:rsid w:val="00222A71"/>
    <w:rsid w:val="002303B2"/>
    <w:rsid w:val="002612AD"/>
    <w:rsid w:val="00265A7D"/>
    <w:rsid w:val="0027647B"/>
    <w:rsid w:val="0028397C"/>
    <w:rsid w:val="00284750"/>
    <w:rsid w:val="002854EF"/>
    <w:rsid w:val="0029526B"/>
    <w:rsid w:val="002A5A2F"/>
    <w:rsid w:val="00326DA1"/>
    <w:rsid w:val="00330027"/>
    <w:rsid w:val="00343D3F"/>
    <w:rsid w:val="00380027"/>
    <w:rsid w:val="003874B8"/>
    <w:rsid w:val="003D1E24"/>
    <w:rsid w:val="003D4B9D"/>
    <w:rsid w:val="003D6856"/>
    <w:rsid w:val="0040670C"/>
    <w:rsid w:val="00417CFD"/>
    <w:rsid w:val="004322BF"/>
    <w:rsid w:val="00463644"/>
    <w:rsid w:val="0047253E"/>
    <w:rsid w:val="00481430"/>
    <w:rsid w:val="00496118"/>
    <w:rsid w:val="004B6F08"/>
    <w:rsid w:val="004D18D1"/>
    <w:rsid w:val="004D7346"/>
    <w:rsid w:val="004F0C65"/>
    <w:rsid w:val="00515628"/>
    <w:rsid w:val="0051644B"/>
    <w:rsid w:val="0052647F"/>
    <w:rsid w:val="00526B3A"/>
    <w:rsid w:val="00536513"/>
    <w:rsid w:val="005511D7"/>
    <w:rsid w:val="00554022"/>
    <w:rsid w:val="00557CC0"/>
    <w:rsid w:val="005809A4"/>
    <w:rsid w:val="00592991"/>
    <w:rsid w:val="00592E03"/>
    <w:rsid w:val="005967B9"/>
    <w:rsid w:val="005C3215"/>
    <w:rsid w:val="005E1271"/>
    <w:rsid w:val="005E533E"/>
    <w:rsid w:val="005E5EFD"/>
    <w:rsid w:val="005F08C6"/>
    <w:rsid w:val="00610E9E"/>
    <w:rsid w:val="0061757B"/>
    <w:rsid w:val="006248C6"/>
    <w:rsid w:val="00627F8C"/>
    <w:rsid w:val="0063782D"/>
    <w:rsid w:val="00637C30"/>
    <w:rsid w:val="00645DB5"/>
    <w:rsid w:val="00657487"/>
    <w:rsid w:val="00682CF9"/>
    <w:rsid w:val="00684EBD"/>
    <w:rsid w:val="00694872"/>
    <w:rsid w:val="006C2B2E"/>
    <w:rsid w:val="006F7F62"/>
    <w:rsid w:val="00707AF3"/>
    <w:rsid w:val="00710CD7"/>
    <w:rsid w:val="007125D7"/>
    <w:rsid w:val="00713AFD"/>
    <w:rsid w:val="00725894"/>
    <w:rsid w:val="00731AF2"/>
    <w:rsid w:val="0074426F"/>
    <w:rsid w:val="00750063"/>
    <w:rsid w:val="0075082E"/>
    <w:rsid w:val="00756CB0"/>
    <w:rsid w:val="0076190B"/>
    <w:rsid w:val="007C7860"/>
    <w:rsid w:val="007D1BF3"/>
    <w:rsid w:val="007D7193"/>
    <w:rsid w:val="007E4861"/>
    <w:rsid w:val="007E5261"/>
    <w:rsid w:val="0082488B"/>
    <w:rsid w:val="00833FF9"/>
    <w:rsid w:val="00855B53"/>
    <w:rsid w:val="00860223"/>
    <w:rsid w:val="008714F9"/>
    <w:rsid w:val="00875BB5"/>
    <w:rsid w:val="00880A56"/>
    <w:rsid w:val="008B1F96"/>
    <w:rsid w:val="008B20E3"/>
    <w:rsid w:val="008B5EF9"/>
    <w:rsid w:val="008C0609"/>
    <w:rsid w:val="008C13BF"/>
    <w:rsid w:val="008D6E01"/>
    <w:rsid w:val="008F016F"/>
    <w:rsid w:val="009029C8"/>
    <w:rsid w:val="00907A30"/>
    <w:rsid w:val="00914AAC"/>
    <w:rsid w:val="009163D9"/>
    <w:rsid w:val="00921239"/>
    <w:rsid w:val="0092532A"/>
    <w:rsid w:val="00930BB7"/>
    <w:rsid w:val="00937754"/>
    <w:rsid w:val="00944793"/>
    <w:rsid w:val="00956250"/>
    <w:rsid w:val="009612DF"/>
    <w:rsid w:val="0096435E"/>
    <w:rsid w:val="00986C9C"/>
    <w:rsid w:val="00992769"/>
    <w:rsid w:val="009A5E40"/>
    <w:rsid w:val="009C122C"/>
    <w:rsid w:val="009D3511"/>
    <w:rsid w:val="009F2941"/>
    <w:rsid w:val="00A12418"/>
    <w:rsid w:val="00A225A0"/>
    <w:rsid w:val="00A2569D"/>
    <w:rsid w:val="00A41839"/>
    <w:rsid w:val="00A62CCE"/>
    <w:rsid w:val="00A80763"/>
    <w:rsid w:val="00A92537"/>
    <w:rsid w:val="00A95DB9"/>
    <w:rsid w:val="00AB234C"/>
    <w:rsid w:val="00B10D3C"/>
    <w:rsid w:val="00B11A61"/>
    <w:rsid w:val="00B403CF"/>
    <w:rsid w:val="00B40F5C"/>
    <w:rsid w:val="00B47083"/>
    <w:rsid w:val="00B5077C"/>
    <w:rsid w:val="00B50CE9"/>
    <w:rsid w:val="00B529E6"/>
    <w:rsid w:val="00B63CD6"/>
    <w:rsid w:val="00B74AA4"/>
    <w:rsid w:val="00BA0CCD"/>
    <w:rsid w:val="00BA37D8"/>
    <w:rsid w:val="00BB6B95"/>
    <w:rsid w:val="00BC0261"/>
    <w:rsid w:val="00BC0EEA"/>
    <w:rsid w:val="00BC2816"/>
    <w:rsid w:val="00BD7721"/>
    <w:rsid w:val="00BE22A0"/>
    <w:rsid w:val="00BF336E"/>
    <w:rsid w:val="00BF4A10"/>
    <w:rsid w:val="00C07720"/>
    <w:rsid w:val="00C17773"/>
    <w:rsid w:val="00C2761C"/>
    <w:rsid w:val="00C460D1"/>
    <w:rsid w:val="00C5340F"/>
    <w:rsid w:val="00C6215F"/>
    <w:rsid w:val="00C931B0"/>
    <w:rsid w:val="00C95519"/>
    <w:rsid w:val="00CB3D7B"/>
    <w:rsid w:val="00CC483A"/>
    <w:rsid w:val="00CE4C22"/>
    <w:rsid w:val="00D10931"/>
    <w:rsid w:val="00D10C22"/>
    <w:rsid w:val="00D41B94"/>
    <w:rsid w:val="00D45183"/>
    <w:rsid w:val="00D914F0"/>
    <w:rsid w:val="00D94909"/>
    <w:rsid w:val="00DB1737"/>
    <w:rsid w:val="00DB4EF4"/>
    <w:rsid w:val="00DC0C31"/>
    <w:rsid w:val="00DD2733"/>
    <w:rsid w:val="00E25B45"/>
    <w:rsid w:val="00E3247C"/>
    <w:rsid w:val="00E423EB"/>
    <w:rsid w:val="00E506AC"/>
    <w:rsid w:val="00E517F3"/>
    <w:rsid w:val="00E54C59"/>
    <w:rsid w:val="00E63FF9"/>
    <w:rsid w:val="00E81F6E"/>
    <w:rsid w:val="00E8371C"/>
    <w:rsid w:val="00E842E4"/>
    <w:rsid w:val="00E87473"/>
    <w:rsid w:val="00EA07BF"/>
    <w:rsid w:val="00EB5573"/>
    <w:rsid w:val="00EC01E6"/>
    <w:rsid w:val="00EC3195"/>
    <w:rsid w:val="00EC5B2B"/>
    <w:rsid w:val="00ED50A1"/>
    <w:rsid w:val="00F14FE0"/>
    <w:rsid w:val="00F156F2"/>
    <w:rsid w:val="00F15822"/>
    <w:rsid w:val="00F16AD4"/>
    <w:rsid w:val="00F22671"/>
    <w:rsid w:val="00F255A1"/>
    <w:rsid w:val="00F30C24"/>
    <w:rsid w:val="00F33C61"/>
    <w:rsid w:val="00F41944"/>
    <w:rsid w:val="00F44284"/>
    <w:rsid w:val="00F55EB7"/>
    <w:rsid w:val="00F72AF9"/>
    <w:rsid w:val="00F74B9C"/>
    <w:rsid w:val="00FC3F84"/>
    <w:rsid w:val="32BC4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84D5B"/>
  <w15:docId w15:val="{9AC62F0A-1672-413D-AA26-F09A7FE1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rPr>
      <w:sz w:val="21"/>
      <w:szCs w:val="21"/>
    </w:rPr>
  </w:style>
  <w:style w:type="paragraph" w:customStyle="1" w:styleId="1">
    <w:name w:val="修订1"/>
    <w:hidden/>
    <w:uiPriority w:val="99"/>
    <w:semiHidden/>
    <w:rPr>
      <w:rFonts w:ascii="Times New Roman" w:eastAsia="宋体" w:hAnsi="Times New Roman" w:cs="Times New Roman"/>
      <w:kern w:val="2"/>
      <w:sz w:val="21"/>
      <w:szCs w:val="24"/>
    </w:rPr>
  </w:style>
  <w:style w:type="character" w:customStyle="1" w:styleId="a4">
    <w:name w:val="批注文字 字符"/>
    <w:basedOn w:val="a0"/>
    <w:link w:val="a3"/>
    <w:uiPriority w:val="99"/>
    <w:semiHidden/>
    <w:rPr>
      <w:rFonts w:ascii="Times New Roman" w:eastAsia="宋体" w:hAnsi="Times New Roman" w:cs="Times New Roman"/>
    </w:rPr>
  </w:style>
  <w:style w:type="character" w:customStyle="1" w:styleId="ac">
    <w:name w:val="批注主题 字符"/>
    <w:basedOn w:val="a4"/>
    <w:link w:val="ab"/>
    <w:uiPriority w:val="99"/>
    <w:semiHidden/>
    <w:qFormat/>
    <w:rPr>
      <w:rFonts w:ascii="Times New Roman" w:eastAsia="宋体" w:hAnsi="Times New Roman" w:cs="Times New Roman"/>
      <w:b/>
      <w:bCs/>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1574</Words>
  <Characters>8974</Characters>
  <Application>Microsoft Office Word</Application>
  <DocSecurity>0</DocSecurity>
  <Lines>74</Lines>
  <Paragraphs>21</Paragraphs>
  <ScaleCrop>false</ScaleCrop>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彭墨</dc:creator>
  <cp:lastModifiedBy>yu mao</cp:lastModifiedBy>
  <cp:revision>14</cp:revision>
  <dcterms:created xsi:type="dcterms:W3CDTF">2024-12-06T00:15:00Z</dcterms:created>
  <dcterms:modified xsi:type="dcterms:W3CDTF">2024-12-15T12:48:00Z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41DD94874D1041668DED342F82003C3F_12</vt:lpwstr>
  </property>
</Properties>
</file>