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737E5">
      <w:pPr>
        <w:pStyle w:val="3"/>
        <w:rPr>
          <w:rFonts w:hint="eastAsia" w:ascii="仿宋_GB2312" w:eastAsia="仿宋_GB2312"/>
          <w:color w:val="000000" w:themeColor="text1"/>
          <w:sz w:val="28"/>
          <w:szCs w:val="28"/>
          <w14:textFill>
            <w14:solidFill>
              <w14:schemeClr w14:val="tx1"/>
            </w14:solidFill>
          </w14:textFill>
        </w:rPr>
      </w:pPr>
      <w:bookmarkStart w:id="0" w:name="_GoBack"/>
      <w:bookmarkEnd w:id="0"/>
      <w:r>
        <w:rPr>
          <w:rFonts w:hint="eastAsia" w:ascii="仿宋_GB2312" w:eastAsia="仿宋_GB2312"/>
          <w:color w:val="000000" w:themeColor="text1"/>
          <w:sz w:val="28"/>
          <w:szCs w:val="28"/>
          <w14:textFill>
            <w14:solidFill>
              <w14:schemeClr w14:val="tx1"/>
            </w14:solidFill>
          </w14:textFill>
        </w:rPr>
        <w:t>候选人基本情况：</w:t>
      </w:r>
    </w:p>
    <w:p w14:paraId="0DD2194A">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杨有新，1985年7月出生，中共党员，博士/博士后，教授。2014年博士毕业于浙江大学，同年入职江西农业大学，主要研究方向为设施蔬菜高产栽培。该候选人坚定以爱国为底色的科学家精神，勇于创新，开拓进取，将科研创新转化推动园艺产业高质量发展，为乡村振兴贡献自身力量。候选人入选赣鄱俊才支持计划－主要学科学术和技术带头人培养计划青年人才、江西省杰青等人才称号，担任江西省蔬菜产业体系设施栽培岗位专家、江西省第十届农作物品种审定委员会旱作专业委员会委员，2024年担任省科协科技助力省派单位定点帮扶村专家服务团团长。共获批国家自然科学基金4项（青年项目1项、面上项目1项、地区项目2项），主持包括江西农业关键核心技术攻关课题在内的省部级项目9项，以第一或通讯作者发表Horticulture Research封面论文在内的SCI论文25篇，中文核心期刊6篇，参编教材2本，授权国家发明专利1项。培养研究生9人，2人获得国家奖学金，4人获得优秀研究生称号。担任BMC Plant Biology编委，《Horticulturae》的客座主编，《南方农业学报》首届青年编辑委员会委员。候选人积极推动产学研结合，将消减连作障碍技术和开发的补光灯等绿色高效栽培技术应用于农业生产，取得显著的经济和社会效益。</w:t>
      </w:r>
    </w:p>
    <w:p w14:paraId="439F9FCA">
      <w:pPr>
        <w:pStyle w:val="2"/>
        <w:rPr>
          <w:rFonts w:hint="eastAsia" w:ascii="仿宋_GB2312" w:eastAsia="仿宋_GB2312"/>
          <w:b w:val="0"/>
          <w:bCs w:val="0"/>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提名者：</w:t>
      </w:r>
      <w:r>
        <w:rPr>
          <w:rFonts w:hint="eastAsia" w:ascii="仿宋_GB2312" w:eastAsia="仿宋_GB2312"/>
          <w:b w:val="0"/>
          <w:bCs w:val="0"/>
          <w:color w:val="000000" w:themeColor="text1"/>
          <w:sz w:val="28"/>
          <w:szCs w:val="28"/>
          <w14:textFill>
            <w14:solidFill>
              <w14:schemeClr w14:val="tx1"/>
            </w14:solidFill>
          </w14:textFill>
        </w:rPr>
        <w:t>江西省教育厅</w:t>
      </w:r>
    </w:p>
    <w:p w14:paraId="77A6FB84">
      <w:pPr>
        <w:pStyle w:val="2"/>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提名意见：</w:t>
      </w:r>
    </w:p>
    <w:p w14:paraId="3409030F">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候选人已主持国家自然科学基金4项、省部级项目9项。候选人入选赣鄱俊才支持计划－主要学科学术和技术带头人培养计划、江西省杰青等人才称号，担任江西省蔬菜产业体系设施栽培岗位专家、江西省第十届农作物品种审定委员会旱作专业委员会委员。其以第一或通讯作者发表SCI论文25篇，参编教材2本，授权国家发明专利1项。候选人在设施蔬菜育种和高产栽培进行了长期研究，利用连作障碍消减技术和利用补光灯等绿色高效栽培技术落地江西农业生产，创造了显著的社会和经济效益，并受到江西主流新闻媒体的关注与报道。</w:t>
      </w:r>
    </w:p>
    <w:p w14:paraId="3BC37426">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p>
    <w:p w14:paraId="5355A7AA">
      <w:pPr>
        <w:pStyle w:val="3"/>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候选人的主要科学技术成就与贡献：</w:t>
      </w:r>
    </w:p>
    <w:p w14:paraId="3395F58E">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候选人聚焦设施蔬菜产业中的难点、痛点：连作障碍问题开展了深入的理论和应用研究。</w:t>
      </w:r>
    </w:p>
    <w:p w14:paraId="0F2A6F20">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首先在理论上创新：团队调研发现江西省辣椒连作障碍发生的主要原因是随着连作年限的增加，土壤微生物菌群发生变化，尤其是土壤酸化导致真菌增多，病害危害严重，尤其是辣椒疫病是危害辣椒最为严重的病害之一。团队提出采用高温杀菌、轮作等方案消减连作障碍；针对设施内早春弱光寡照高湿导致疫病高发，创新性地提出使用补光技术，尤其是补红光显著增强了辣椒对疫病的抗性。以上理论具有重要的创新性，相关科研成果候选人以第一作者在</w:t>
      </w:r>
      <w:r>
        <w:rPr>
          <w:rFonts w:hint="eastAsia" w:ascii="仿宋_GB2312" w:eastAsia="仿宋_GB2312"/>
          <w:b/>
          <w:bCs/>
          <w:color w:val="000000" w:themeColor="text1"/>
          <w:sz w:val="28"/>
          <w:szCs w:val="28"/>
          <w14:textFill>
            <w14:solidFill>
              <w14:schemeClr w14:val="tx1"/>
            </w14:solidFill>
          </w14:textFill>
        </w:rPr>
        <w:t>园艺学科TOP期刊Horticulture Research发表封面论文</w:t>
      </w:r>
      <w:r>
        <w:rPr>
          <w:rFonts w:hint="eastAsia" w:ascii="仿宋_GB2312" w:eastAsia="仿宋_GB2312"/>
          <w:color w:val="000000" w:themeColor="text1"/>
          <w:sz w:val="28"/>
          <w:szCs w:val="28"/>
          <w14:textFill>
            <w14:solidFill>
              <w14:schemeClr w14:val="tx1"/>
            </w14:solidFill>
          </w14:textFill>
        </w:rPr>
        <w:t>，以及在Trends in Plant Science、International Journal of Biological Macromolecules、Environmental Pollution和园艺学报等国内外期刊上发表论文25篇。发表的文章受到Nature Communication期刊引用及高度评价，截至目前，论文引用1266次，H指数21。</w:t>
      </w:r>
    </w:p>
    <w:p w14:paraId="66850CAA">
      <w:pPr>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围绕项目开展取得的技术突破：2014年入职江西农业大学以来候选人长期担任江西省科技特派员，2024年担任省科协科技助力省派单位定点帮扶村专家服务团团长，还担任乐平蔬菜科技小院第二负责人，并参与永丰蔬菜科技小院建设。针对江西省蔬菜产业中连作障碍的难点和痛点，候选人及团队开展栽培模式创新，利用夏季高温闷棚、使用生石灰、石灰氮或者棉隆等方法提高消杀病虫害效果；挖掘伴生和间套作作物（芥菜、芹菜和</w:t>
      </w:r>
      <w:r>
        <w:rPr>
          <w:rFonts w:hint="eastAsia" w:ascii="微软雅黑" w:hAnsi="微软雅黑" w:eastAsia="微软雅黑" w:cs="微软雅黑"/>
          <w:color w:val="000000" w:themeColor="text1"/>
          <w:sz w:val="28"/>
          <w:szCs w:val="28"/>
          <w14:textFill>
            <w14:solidFill>
              <w14:schemeClr w14:val="tx1"/>
            </w14:solidFill>
          </w14:textFill>
        </w:rPr>
        <w:t>藠</w:t>
      </w:r>
      <w:r>
        <w:rPr>
          <w:rFonts w:hint="eastAsia" w:ascii="仿宋_GB2312" w:hAnsi="仿宋_GB2312" w:eastAsia="仿宋_GB2312" w:cs="仿宋_GB2312"/>
          <w:color w:val="000000" w:themeColor="text1"/>
          <w:sz w:val="28"/>
          <w:szCs w:val="28"/>
          <w14:textFill>
            <w14:solidFill>
              <w14:schemeClr w14:val="tx1"/>
            </w14:solidFill>
          </w14:textFill>
        </w:rPr>
        <w:t>头等）减轻连作障碍，减轻病虫害的发生；针对辣椒疫病</w:t>
      </w:r>
      <w:r>
        <w:rPr>
          <w:rFonts w:hint="eastAsia" w:ascii="仿宋_GB2312" w:eastAsia="仿宋_GB2312"/>
          <w:color w:val="000000" w:themeColor="text1"/>
          <w:sz w:val="28"/>
          <w:szCs w:val="28"/>
          <w14:textFill>
            <w14:solidFill>
              <w14:schemeClr w14:val="tx1"/>
            </w14:solidFill>
          </w14:textFill>
        </w:rPr>
        <w:t xml:space="preserve">高发的现状，利用和浙江大学联合开发的补光灯在南昌、景德镇、赣州、吉安等多个地区推广，有效地减少了辣椒发病率、提高了辣椒的壮苗指数，产量和品质。总结以上创新，候选人及团队已申报江西省地方标准1项、授权发明专利1项，研究成果有效地减轻了病虫害的发生，提高了蔬菜的产量和品质，具有重要的经济和社会价值。此外，候选人积极在全省开展蔬菜高产栽培技术培训，有效推动了技术的应用，提高了农户的种植水平和种菜积极性，带动农业增效、农民增收，从而为乡村振兴贡献力量。候选人科研成果及社会服务受到江西主流新闻媒体江西卫视（https://share.jxgdw.com/share/program/89/1065725）和江西卫视《江西新闻联播》（https://share.jxgdw.com/share/media/49b3705d705d2dfca446155af42abd81?userid=620576552970）的关注与报道。 </w:t>
      </w:r>
    </w:p>
    <w:p w14:paraId="39382C6C">
      <w:pPr>
        <w:widowControl/>
        <w:snapToGrid w:val="0"/>
        <w:spacing w:line="360" w:lineRule="auto"/>
        <w:ind w:firstLine="42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近五年来，候选人围绕我省及长江中下游普遍存在的设施连作障碍问题开展，共获批国家自然科学基金4项（面上项目和青年项目各1项、地区项目2项），主持省部级科技计划项目和市厅级项目8项，其中包括赣鄱俊才支持计划－主要学科学术和技术带头人培养计划青年人才、江西省杰出青年基金、江西省农业农村厅育种攻关项目各1项，作为合作单位主持江西省重点研发计划</w:t>
      </w:r>
      <w:r>
        <w:rPr>
          <w:rFonts w:hint="eastAsia" w:ascii="仿宋_GB2312" w:hAnsi="楷体" w:eastAsia="仿宋_GB2312"/>
          <w:color w:val="000000" w:themeColor="text1"/>
          <w:sz w:val="28"/>
          <w:szCs w:val="28"/>
          <w14:textFill>
            <w14:solidFill>
              <w14:schemeClr w14:val="tx1"/>
            </w14:solidFill>
          </w14:textFill>
        </w:rPr>
        <w:t>“揭榜挂帅”</w:t>
      </w:r>
      <w:r>
        <w:rPr>
          <w:rFonts w:hint="eastAsia" w:ascii="仿宋_GB2312" w:eastAsia="仿宋_GB2312"/>
          <w:color w:val="000000" w:themeColor="text1"/>
          <w:sz w:val="28"/>
          <w:szCs w:val="28"/>
          <w14:textFill>
            <w14:solidFill>
              <w14:schemeClr w14:val="tx1"/>
            </w14:solidFill>
          </w14:textFill>
        </w:rPr>
        <w:t>项目1项；作为重要作者参编科学出版社出版的《植物组织培养与生物技术》和江西科学技术出版社出版的《江西设施蔬菜绿色高效栽培技术》。候选人共培养硕士研究生9人（2人获得国家奖学金，4人获得优秀研究生称号），本科生200人以上，促进了我省蔬菜人才的培养。候选人应邀在2020年3月国家智慧植物工厂创新联盟和中国之光网站和2022年度中国园艺学会学术年会做大会汇报做主题报告</w:t>
      </w:r>
      <w:r>
        <w:rPr>
          <w:rFonts w:hint="eastAsia" w:ascii="仿宋_GB2312" w:hAnsi="楷体" w:eastAsia="仿宋_GB2312"/>
          <w:color w:val="000000" w:themeColor="text1"/>
          <w:sz w:val="28"/>
          <w:szCs w:val="28"/>
          <w14:textFill>
            <w14:solidFill>
              <w14:schemeClr w14:val="tx1"/>
            </w14:solidFill>
          </w14:textFill>
        </w:rPr>
        <w:t>，得到国内外</w:t>
      </w:r>
      <w:r>
        <w:rPr>
          <w:rFonts w:hint="eastAsia" w:ascii="仿宋_GB2312" w:eastAsia="仿宋_GB2312"/>
          <w:color w:val="000000" w:themeColor="text1"/>
          <w:sz w:val="28"/>
          <w:szCs w:val="28"/>
          <w14:textFill>
            <w14:solidFill>
              <w14:schemeClr w14:val="tx1"/>
            </w14:solidFill>
          </w14:textFill>
        </w:rPr>
        <w:t>同行的认可，提升了我省蔬菜研究在国内的科研地位。</w:t>
      </w:r>
    </w:p>
    <w:p w14:paraId="413A7835">
      <w:pPr>
        <w:spacing w:line="360" w:lineRule="auto"/>
        <w:ind w:firstLine="420"/>
        <w:rPr>
          <w:rFonts w:eastAsia="楷体"/>
          <w:color w:val="000000" w:themeColor="text1"/>
          <w:sz w:val="24"/>
          <w14:textFill>
            <w14:solidFill>
              <w14:schemeClr w14:val="tx1"/>
            </w14:solidFill>
          </w14:textFill>
        </w:rPr>
        <w:sectPr>
          <w:footerReference r:id="rId3" w:type="default"/>
          <w:pgSz w:w="11906" w:h="16838"/>
          <w:pgMar w:top="1440" w:right="1800" w:bottom="1440" w:left="1800" w:header="851" w:footer="992" w:gutter="0"/>
          <w:cols w:space="425" w:num="1"/>
          <w:docGrid w:type="lines" w:linePitch="312" w:charSpace="0"/>
        </w:sectPr>
      </w:pPr>
    </w:p>
    <w:p w14:paraId="0E56623E">
      <w:pPr>
        <w:rPr>
          <w:rFonts w:eastAsia="楷体"/>
          <w:color w:val="000000" w:themeColor="text1"/>
          <w:sz w:val="24"/>
          <w14:textFill>
            <w14:solidFill>
              <w14:schemeClr w14:val="tx1"/>
            </w14:solidFill>
          </w14:textFill>
        </w:rPr>
      </w:pPr>
    </w:p>
    <w:p w14:paraId="2B97AEAD">
      <w:pPr>
        <w:pStyle w:val="4"/>
      </w:pPr>
    </w:p>
    <w:p w14:paraId="1A826578">
      <w:pPr>
        <w:jc w:val="center"/>
        <w:rPr>
          <w:rFonts w:eastAsia="黑体"/>
          <w:bCs/>
          <w:color w:val="000000"/>
          <w:sz w:val="32"/>
          <w:szCs w:val="32"/>
        </w:rPr>
      </w:pPr>
      <w:r>
        <w:rPr>
          <w:rFonts w:eastAsia="黑体"/>
          <w:bCs/>
          <w:color w:val="000000"/>
          <w:sz w:val="32"/>
          <w:szCs w:val="32"/>
        </w:rPr>
        <w:t>附表1：候选人代表性论文专著目录</w:t>
      </w:r>
    </w:p>
    <w:tbl>
      <w:tblPr>
        <w:tblStyle w:val="10"/>
        <w:tblW w:w="0" w:type="auto"/>
        <w:tblCellSpacing w:w="0" w:type="dxa"/>
        <w:tblInd w:w="12" w:type="dxa"/>
        <w:tblLayout w:type="autofit"/>
        <w:tblCellMar>
          <w:top w:w="0" w:type="dxa"/>
          <w:left w:w="0" w:type="dxa"/>
          <w:bottom w:w="0" w:type="dxa"/>
          <w:right w:w="0" w:type="dxa"/>
        </w:tblCellMar>
      </w:tblPr>
      <w:tblGrid>
        <w:gridCol w:w="534"/>
        <w:gridCol w:w="6643"/>
        <w:gridCol w:w="1710"/>
        <w:gridCol w:w="1605"/>
        <w:gridCol w:w="1272"/>
        <w:gridCol w:w="863"/>
        <w:gridCol w:w="1559"/>
      </w:tblGrid>
      <w:tr w14:paraId="79C54CD6">
        <w:tblPrEx>
          <w:tblCellMar>
            <w:top w:w="0" w:type="dxa"/>
            <w:left w:w="0" w:type="dxa"/>
            <w:bottom w:w="0" w:type="dxa"/>
            <w:right w:w="0" w:type="dxa"/>
          </w:tblCellMar>
        </w:tblPrEx>
        <w:trPr>
          <w:tblCellSpacing w:w="0" w:type="dxa"/>
        </w:trPr>
        <w:tc>
          <w:tcPr>
            <w:tcW w:w="0" w:type="auto"/>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FEE925D">
            <w:pPr>
              <w:pStyle w:val="9"/>
              <w:widowControl/>
              <w:jc w:val="center"/>
              <w:rPr>
                <w:rFonts w:eastAsia="仿宋"/>
              </w:rPr>
            </w:pPr>
            <w:r>
              <w:rPr>
                <w:rFonts w:eastAsia="仿宋"/>
                <w:sz w:val="18"/>
                <w:szCs w:val="18"/>
              </w:rPr>
              <w:t>序号</w:t>
            </w:r>
          </w:p>
        </w:tc>
        <w:tc>
          <w:tcPr>
            <w:tcW w:w="0" w:type="auto"/>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47F8403E">
            <w:pPr>
              <w:pStyle w:val="9"/>
              <w:widowControl/>
              <w:jc w:val="center"/>
              <w:rPr>
                <w:rFonts w:eastAsia="仿宋"/>
              </w:rPr>
            </w:pPr>
            <w:r>
              <w:rPr>
                <w:rFonts w:eastAsia="仿宋"/>
                <w:sz w:val="18"/>
                <w:szCs w:val="18"/>
              </w:rPr>
              <w:t>论文（专著）名称/刊名</w:t>
            </w:r>
          </w:p>
        </w:tc>
        <w:tc>
          <w:tcPr>
            <w:tcW w:w="0" w:type="auto"/>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5D15535B">
            <w:pPr>
              <w:pStyle w:val="9"/>
              <w:widowControl/>
              <w:jc w:val="center"/>
              <w:rPr>
                <w:rFonts w:eastAsia="仿宋"/>
              </w:rPr>
            </w:pPr>
            <w:r>
              <w:rPr>
                <w:rFonts w:eastAsia="仿宋"/>
                <w:sz w:val="18"/>
                <w:szCs w:val="18"/>
              </w:rPr>
              <w:t>年卷页码（××年××卷××页）</w:t>
            </w:r>
          </w:p>
        </w:tc>
        <w:tc>
          <w:tcPr>
            <w:tcW w:w="0" w:type="auto"/>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71ED13F8">
            <w:pPr>
              <w:pStyle w:val="9"/>
              <w:widowControl/>
              <w:jc w:val="center"/>
              <w:rPr>
                <w:rFonts w:eastAsia="仿宋"/>
              </w:rPr>
            </w:pPr>
            <w:r>
              <w:rPr>
                <w:rFonts w:eastAsia="仿宋"/>
                <w:spacing w:val="-15"/>
                <w:sz w:val="18"/>
                <w:szCs w:val="18"/>
              </w:rPr>
              <w:t>发表时间（年月日）</w:t>
            </w:r>
          </w:p>
        </w:tc>
        <w:tc>
          <w:tcPr>
            <w:tcW w:w="0" w:type="auto"/>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4D77A772">
            <w:pPr>
              <w:pStyle w:val="9"/>
              <w:widowControl/>
              <w:jc w:val="center"/>
              <w:rPr>
                <w:rFonts w:eastAsia="仿宋"/>
              </w:rPr>
            </w:pPr>
            <w:r>
              <w:rPr>
                <w:rFonts w:eastAsia="仿宋"/>
                <w:spacing w:val="-15"/>
                <w:sz w:val="18"/>
                <w:szCs w:val="18"/>
              </w:rPr>
              <w:t>通讯作者</w:t>
            </w:r>
          </w:p>
        </w:tc>
        <w:tc>
          <w:tcPr>
            <w:tcW w:w="863"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3B897ACB">
            <w:pPr>
              <w:pStyle w:val="9"/>
              <w:widowControl/>
              <w:jc w:val="center"/>
              <w:rPr>
                <w:rFonts w:eastAsia="仿宋"/>
              </w:rPr>
            </w:pPr>
            <w:r>
              <w:rPr>
                <w:rFonts w:eastAsia="仿宋"/>
                <w:spacing w:val="-15"/>
                <w:sz w:val="18"/>
                <w:szCs w:val="18"/>
              </w:rPr>
              <w:t>第一作者</w:t>
            </w:r>
          </w:p>
        </w:tc>
        <w:tc>
          <w:tcPr>
            <w:tcW w:w="1559"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577D1189">
            <w:pPr>
              <w:pStyle w:val="9"/>
              <w:widowControl/>
              <w:jc w:val="center"/>
              <w:rPr>
                <w:rFonts w:eastAsia="仿宋"/>
              </w:rPr>
            </w:pPr>
            <w:r>
              <w:rPr>
                <w:rFonts w:eastAsia="仿宋"/>
                <w:sz w:val="18"/>
                <w:szCs w:val="18"/>
              </w:rPr>
              <w:t>第一署名单位是否在赣单位</w:t>
            </w:r>
          </w:p>
        </w:tc>
      </w:tr>
      <w:tr w14:paraId="5B8DE7FD">
        <w:tblPrEx>
          <w:tblCellMar>
            <w:top w:w="0" w:type="dxa"/>
            <w:left w:w="0" w:type="dxa"/>
            <w:bottom w:w="0" w:type="dxa"/>
            <w:right w:w="0" w:type="dxa"/>
          </w:tblCellMar>
        </w:tblPrEx>
        <w:trPr>
          <w:trHeight w:val="885" w:hRule="atLeast"/>
          <w:tblCellSpacing w:w="0" w:type="dxa"/>
        </w:trPr>
        <w:tc>
          <w:tcPr>
            <w:tcW w:w="0" w:type="auto"/>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383DC910">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1</w:t>
            </w:r>
          </w:p>
        </w:tc>
        <w:tc>
          <w:tcPr>
            <w:tcW w:w="0" w:type="auto"/>
            <w:tcBorders>
              <w:top w:val="nil"/>
              <w:left w:val="nil"/>
              <w:bottom w:val="single" w:color="auto" w:sz="6" w:space="0"/>
              <w:right w:val="single" w:color="auto" w:sz="6" w:space="0"/>
            </w:tcBorders>
            <w:shd w:val="clear" w:color="auto" w:fill="auto"/>
            <w:tcMar>
              <w:left w:w="105" w:type="dxa"/>
              <w:right w:w="105" w:type="dxa"/>
            </w:tcMar>
            <w:vAlign w:val="center"/>
          </w:tcPr>
          <w:p w14:paraId="1322AA05">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Red light induces salicylic acid accumulation by activating CaHY5 to enhance pepper resistance against Phytophthora capsici</w:t>
            </w:r>
          </w:p>
        </w:tc>
        <w:tc>
          <w:tcPr>
            <w:tcW w:w="0" w:type="auto"/>
            <w:tcBorders>
              <w:top w:val="nil"/>
              <w:left w:val="nil"/>
              <w:bottom w:val="single" w:color="auto" w:sz="6" w:space="0"/>
              <w:right w:val="single" w:color="auto" w:sz="6" w:space="0"/>
            </w:tcBorders>
            <w:shd w:val="clear" w:color="auto" w:fill="auto"/>
            <w:tcMar>
              <w:left w:w="105" w:type="dxa"/>
              <w:right w:w="105" w:type="dxa"/>
            </w:tcMar>
            <w:vAlign w:val="center"/>
          </w:tcPr>
          <w:p w14:paraId="28559752">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2023,uhad213</w:t>
            </w:r>
          </w:p>
        </w:tc>
        <w:tc>
          <w:tcPr>
            <w:tcW w:w="0" w:type="auto"/>
            <w:tcBorders>
              <w:top w:val="nil"/>
              <w:left w:val="nil"/>
              <w:bottom w:val="single" w:color="auto" w:sz="6" w:space="0"/>
              <w:right w:val="single" w:color="auto" w:sz="6" w:space="0"/>
            </w:tcBorders>
            <w:shd w:val="clear" w:color="auto" w:fill="auto"/>
            <w:tcMar>
              <w:left w:w="105" w:type="dxa"/>
              <w:right w:w="105" w:type="dxa"/>
            </w:tcMar>
            <w:vAlign w:val="center"/>
          </w:tcPr>
          <w:p w14:paraId="21E569C8">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2023-10-17</w:t>
            </w:r>
          </w:p>
        </w:tc>
        <w:tc>
          <w:tcPr>
            <w:tcW w:w="0" w:type="auto"/>
            <w:tcBorders>
              <w:top w:val="nil"/>
              <w:left w:val="nil"/>
              <w:bottom w:val="single" w:color="auto" w:sz="6" w:space="0"/>
              <w:right w:val="single" w:color="auto" w:sz="6" w:space="0"/>
            </w:tcBorders>
            <w:shd w:val="clear" w:color="auto" w:fill="auto"/>
            <w:tcMar>
              <w:left w:w="105" w:type="dxa"/>
              <w:right w:w="105" w:type="dxa"/>
            </w:tcMar>
            <w:vAlign w:val="center"/>
          </w:tcPr>
          <w:p w14:paraId="776CE8B2">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周艳虹、</w:t>
            </w:r>
          </w:p>
          <w:p w14:paraId="4AB5CFCE">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党峰峰</w:t>
            </w:r>
          </w:p>
        </w:tc>
        <w:tc>
          <w:tcPr>
            <w:tcW w:w="863" w:type="dxa"/>
            <w:tcBorders>
              <w:top w:val="nil"/>
              <w:left w:val="nil"/>
              <w:bottom w:val="single" w:color="auto" w:sz="6" w:space="0"/>
              <w:right w:val="single" w:color="auto" w:sz="6" w:space="0"/>
            </w:tcBorders>
            <w:shd w:val="clear" w:color="auto" w:fill="auto"/>
            <w:tcMar>
              <w:left w:w="105" w:type="dxa"/>
              <w:right w:w="105" w:type="dxa"/>
            </w:tcMar>
            <w:vAlign w:val="center"/>
          </w:tcPr>
          <w:p w14:paraId="74034293">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杨有新</w:t>
            </w:r>
          </w:p>
        </w:tc>
        <w:tc>
          <w:tcPr>
            <w:tcW w:w="1559" w:type="dxa"/>
            <w:tcBorders>
              <w:top w:val="nil"/>
              <w:left w:val="nil"/>
              <w:bottom w:val="single" w:color="auto" w:sz="6" w:space="0"/>
              <w:right w:val="single" w:color="auto" w:sz="6" w:space="0"/>
            </w:tcBorders>
            <w:shd w:val="clear" w:color="auto" w:fill="auto"/>
            <w:tcMar>
              <w:left w:w="105" w:type="dxa"/>
              <w:right w:w="105" w:type="dxa"/>
            </w:tcMar>
            <w:vAlign w:val="center"/>
          </w:tcPr>
          <w:p w14:paraId="22362BC6">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是</w:t>
            </w:r>
          </w:p>
        </w:tc>
      </w:tr>
      <w:tr w14:paraId="579A2960">
        <w:tblPrEx>
          <w:tblCellMar>
            <w:top w:w="0" w:type="dxa"/>
            <w:left w:w="0" w:type="dxa"/>
            <w:bottom w:w="0" w:type="dxa"/>
            <w:right w:w="0" w:type="dxa"/>
          </w:tblCellMar>
        </w:tblPrEx>
        <w:trPr>
          <w:trHeight w:val="885" w:hRule="atLeast"/>
          <w:tblCellSpacing w:w="0" w:type="dxa"/>
        </w:trPr>
        <w:tc>
          <w:tcPr>
            <w:tcW w:w="0" w:type="auto"/>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7ECF97F2">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w:t>
            </w:r>
          </w:p>
        </w:tc>
        <w:tc>
          <w:tcPr>
            <w:tcW w:w="0" w:type="auto"/>
            <w:tcBorders>
              <w:top w:val="nil"/>
              <w:left w:val="nil"/>
              <w:bottom w:val="single" w:color="auto" w:sz="6" w:space="0"/>
              <w:right w:val="single" w:color="auto" w:sz="6" w:space="0"/>
            </w:tcBorders>
            <w:shd w:val="clear" w:color="auto" w:fill="auto"/>
            <w:tcMar>
              <w:left w:w="105" w:type="dxa"/>
              <w:right w:w="105" w:type="dxa"/>
            </w:tcMar>
            <w:vAlign w:val="center"/>
          </w:tcPr>
          <w:p w14:paraId="1CE2AB2B">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Anthocyanin-mediated arsenic tolerance in plants</w:t>
            </w:r>
          </w:p>
        </w:tc>
        <w:tc>
          <w:tcPr>
            <w:tcW w:w="1710" w:type="dxa"/>
            <w:tcBorders>
              <w:top w:val="nil"/>
              <w:left w:val="nil"/>
              <w:bottom w:val="single" w:color="auto" w:sz="6" w:space="0"/>
              <w:right w:val="single" w:color="auto" w:sz="6" w:space="0"/>
            </w:tcBorders>
            <w:shd w:val="clear" w:color="auto" w:fill="auto"/>
            <w:tcMar>
              <w:left w:w="105" w:type="dxa"/>
              <w:right w:w="105" w:type="dxa"/>
            </w:tcMar>
            <w:vAlign w:val="center"/>
          </w:tcPr>
          <w:p w14:paraId="4A1E18C4">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2021年292卷</w:t>
            </w:r>
          </w:p>
          <w:p w14:paraId="6AE6D063">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118475</w:t>
            </w:r>
          </w:p>
        </w:tc>
        <w:tc>
          <w:tcPr>
            <w:tcW w:w="1605" w:type="dxa"/>
            <w:tcBorders>
              <w:top w:val="nil"/>
              <w:left w:val="nil"/>
              <w:bottom w:val="single" w:color="auto" w:sz="6" w:space="0"/>
              <w:right w:val="single" w:color="auto" w:sz="6" w:space="0"/>
            </w:tcBorders>
            <w:shd w:val="clear" w:color="auto" w:fill="auto"/>
            <w:tcMar>
              <w:left w:w="105" w:type="dxa"/>
              <w:right w:w="105" w:type="dxa"/>
            </w:tcMar>
            <w:vAlign w:val="center"/>
          </w:tcPr>
          <w:p w14:paraId="603FF5D3">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2021-11-05</w:t>
            </w:r>
          </w:p>
        </w:tc>
        <w:tc>
          <w:tcPr>
            <w:tcW w:w="1272" w:type="dxa"/>
            <w:tcBorders>
              <w:top w:val="nil"/>
              <w:left w:val="nil"/>
              <w:bottom w:val="single" w:color="auto" w:sz="6" w:space="0"/>
              <w:right w:val="single" w:color="auto" w:sz="6" w:space="0"/>
            </w:tcBorders>
            <w:shd w:val="clear" w:color="auto" w:fill="auto"/>
            <w:tcMar>
              <w:left w:w="105" w:type="dxa"/>
              <w:right w:w="105" w:type="dxa"/>
            </w:tcMar>
            <w:vAlign w:val="center"/>
          </w:tcPr>
          <w:p w14:paraId="5CB5C114">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Ahammed, G.J.</w:t>
            </w:r>
          </w:p>
        </w:tc>
        <w:tc>
          <w:tcPr>
            <w:tcW w:w="863" w:type="dxa"/>
            <w:tcBorders>
              <w:top w:val="nil"/>
              <w:left w:val="nil"/>
              <w:bottom w:val="single" w:color="auto" w:sz="6" w:space="0"/>
              <w:right w:val="single" w:color="auto" w:sz="6" w:space="0"/>
            </w:tcBorders>
            <w:shd w:val="clear" w:color="auto" w:fill="auto"/>
            <w:tcMar>
              <w:left w:w="105" w:type="dxa"/>
              <w:right w:w="105" w:type="dxa"/>
            </w:tcMar>
            <w:vAlign w:val="center"/>
          </w:tcPr>
          <w:p w14:paraId="29CC02B2">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杨有新</w:t>
            </w:r>
          </w:p>
        </w:tc>
        <w:tc>
          <w:tcPr>
            <w:tcW w:w="1559" w:type="dxa"/>
            <w:tcBorders>
              <w:top w:val="nil"/>
              <w:left w:val="nil"/>
              <w:bottom w:val="single" w:color="auto" w:sz="6" w:space="0"/>
              <w:right w:val="single" w:color="auto" w:sz="6" w:space="0"/>
            </w:tcBorders>
            <w:shd w:val="clear" w:color="auto" w:fill="auto"/>
            <w:tcMar>
              <w:left w:w="105" w:type="dxa"/>
              <w:right w:w="105" w:type="dxa"/>
            </w:tcMar>
            <w:vAlign w:val="center"/>
          </w:tcPr>
          <w:p w14:paraId="08D4605F">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否</w:t>
            </w:r>
          </w:p>
        </w:tc>
      </w:tr>
      <w:tr w14:paraId="4D3E7908">
        <w:tblPrEx>
          <w:tblCellMar>
            <w:top w:w="0" w:type="dxa"/>
            <w:left w:w="0" w:type="dxa"/>
            <w:bottom w:w="0" w:type="dxa"/>
            <w:right w:w="0" w:type="dxa"/>
          </w:tblCellMar>
        </w:tblPrEx>
        <w:trPr>
          <w:trHeight w:val="885" w:hRule="atLeast"/>
          <w:tblCellSpacing w:w="0" w:type="dxa"/>
        </w:trPr>
        <w:tc>
          <w:tcPr>
            <w:tcW w:w="0" w:type="auto"/>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37BE6891">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3</w:t>
            </w:r>
          </w:p>
        </w:tc>
        <w:tc>
          <w:tcPr>
            <w:tcW w:w="6643" w:type="dxa"/>
            <w:tcBorders>
              <w:top w:val="nil"/>
              <w:left w:val="nil"/>
              <w:bottom w:val="single" w:color="auto" w:sz="6" w:space="0"/>
              <w:right w:val="single" w:color="auto" w:sz="6" w:space="0"/>
            </w:tcBorders>
            <w:shd w:val="clear" w:color="auto" w:fill="auto"/>
            <w:tcMar>
              <w:left w:w="105" w:type="dxa"/>
              <w:right w:w="105" w:type="dxa"/>
            </w:tcMar>
            <w:vAlign w:val="center"/>
          </w:tcPr>
          <w:p w14:paraId="7BEB086E">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Light regulation of potassium in plants</w:t>
            </w:r>
          </w:p>
        </w:tc>
        <w:tc>
          <w:tcPr>
            <w:tcW w:w="1710" w:type="dxa"/>
            <w:tcBorders>
              <w:top w:val="nil"/>
              <w:left w:val="nil"/>
              <w:bottom w:val="single" w:color="auto" w:sz="6" w:space="0"/>
              <w:right w:val="single" w:color="auto" w:sz="6" w:space="0"/>
            </w:tcBorders>
            <w:shd w:val="clear" w:color="auto" w:fill="auto"/>
            <w:tcMar>
              <w:left w:w="105" w:type="dxa"/>
              <w:right w:w="105" w:type="dxa"/>
            </w:tcMar>
            <w:vAlign w:val="center"/>
          </w:tcPr>
          <w:p w14:paraId="2C2AE80A">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2022年170卷</w:t>
            </w:r>
          </w:p>
          <w:p w14:paraId="478F23E3">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316-324页</w:t>
            </w:r>
          </w:p>
        </w:tc>
        <w:tc>
          <w:tcPr>
            <w:tcW w:w="1605" w:type="dxa"/>
            <w:tcBorders>
              <w:top w:val="nil"/>
              <w:left w:val="nil"/>
              <w:bottom w:val="single" w:color="auto" w:sz="6" w:space="0"/>
              <w:right w:val="single" w:color="auto" w:sz="6" w:space="0"/>
            </w:tcBorders>
            <w:shd w:val="clear" w:color="auto" w:fill="auto"/>
            <w:tcMar>
              <w:left w:w="105" w:type="dxa"/>
              <w:right w:w="105" w:type="dxa"/>
            </w:tcMar>
            <w:vAlign w:val="center"/>
          </w:tcPr>
          <w:p w14:paraId="145CBD66">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2021-12-18</w:t>
            </w:r>
          </w:p>
        </w:tc>
        <w:tc>
          <w:tcPr>
            <w:tcW w:w="1272" w:type="dxa"/>
            <w:tcBorders>
              <w:top w:val="nil"/>
              <w:left w:val="nil"/>
              <w:bottom w:val="single" w:color="auto" w:sz="6" w:space="0"/>
              <w:right w:val="single" w:color="auto" w:sz="6" w:space="0"/>
            </w:tcBorders>
            <w:shd w:val="clear" w:color="auto" w:fill="auto"/>
            <w:tcMar>
              <w:left w:w="105" w:type="dxa"/>
              <w:right w:w="105" w:type="dxa"/>
            </w:tcMar>
            <w:vAlign w:val="center"/>
          </w:tcPr>
          <w:p w14:paraId="39B3EE45">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Ahammed, G.J.</w:t>
            </w:r>
          </w:p>
        </w:tc>
        <w:tc>
          <w:tcPr>
            <w:tcW w:w="863" w:type="dxa"/>
            <w:tcBorders>
              <w:top w:val="nil"/>
              <w:left w:val="nil"/>
              <w:bottom w:val="single" w:color="auto" w:sz="6" w:space="0"/>
              <w:right w:val="single" w:color="auto" w:sz="6" w:space="0"/>
            </w:tcBorders>
            <w:shd w:val="clear" w:color="auto" w:fill="auto"/>
            <w:tcMar>
              <w:left w:w="105" w:type="dxa"/>
              <w:right w:w="105" w:type="dxa"/>
            </w:tcMar>
            <w:vAlign w:val="center"/>
          </w:tcPr>
          <w:p w14:paraId="63E48630">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杨有新</w:t>
            </w:r>
          </w:p>
        </w:tc>
        <w:tc>
          <w:tcPr>
            <w:tcW w:w="1559" w:type="dxa"/>
            <w:tcBorders>
              <w:top w:val="nil"/>
              <w:left w:val="nil"/>
              <w:bottom w:val="single" w:color="auto" w:sz="6" w:space="0"/>
              <w:right w:val="single" w:color="auto" w:sz="6" w:space="0"/>
            </w:tcBorders>
            <w:shd w:val="clear" w:color="auto" w:fill="auto"/>
            <w:tcMar>
              <w:left w:w="105" w:type="dxa"/>
              <w:right w:w="105" w:type="dxa"/>
            </w:tcMar>
            <w:vAlign w:val="center"/>
          </w:tcPr>
          <w:p w14:paraId="0A08ECD9">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否</w:t>
            </w:r>
          </w:p>
        </w:tc>
      </w:tr>
      <w:tr w14:paraId="56EEFB97">
        <w:tblPrEx>
          <w:tblCellMar>
            <w:top w:w="0" w:type="dxa"/>
            <w:left w:w="0" w:type="dxa"/>
            <w:bottom w:w="0" w:type="dxa"/>
            <w:right w:w="0" w:type="dxa"/>
          </w:tblCellMar>
        </w:tblPrEx>
        <w:trPr>
          <w:trHeight w:val="885" w:hRule="atLeast"/>
          <w:tblCellSpacing w:w="0" w:type="dxa"/>
        </w:trPr>
        <w:tc>
          <w:tcPr>
            <w:tcW w:w="0" w:type="auto"/>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4382CF8B">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4</w:t>
            </w:r>
          </w:p>
        </w:tc>
        <w:tc>
          <w:tcPr>
            <w:tcW w:w="6643" w:type="dxa"/>
            <w:tcBorders>
              <w:top w:val="nil"/>
              <w:left w:val="nil"/>
              <w:bottom w:val="single" w:color="auto" w:sz="6" w:space="0"/>
              <w:right w:val="single" w:color="auto" w:sz="6" w:space="0"/>
            </w:tcBorders>
            <w:shd w:val="clear" w:color="auto" w:fill="auto"/>
            <w:tcMar>
              <w:left w:w="105" w:type="dxa"/>
              <w:right w:w="105" w:type="dxa"/>
            </w:tcMar>
            <w:vAlign w:val="center"/>
          </w:tcPr>
          <w:p w14:paraId="6A238B6A">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Characterization of phytochrome-interacting factor genes in pepper and functional analysis of CaPIF8 in cold and salt stress</w:t>
            </w:r>
          </w:p>
        </w:tc>
        <w:tc>
          <w:tcPr>
            <w:tcW w:w="1710" w:type="dxa"/>
            <w:tcBorders>
              <w:top w:val="nil"/>
              <w:left w:val="nil"/>
              <w:bottom w:val="single" w:color="auto" w:sz="6" w:space="0"/>
              <w:right w:val="single" w:color="auto" w:sz="6" w:space="0"/>
            </w:tcBorders>
            <w:shd w:val="clear" w:color="auto" w:fill="auto"/>
            <w:tcMar>
              <w:left w:w="105" w:type="dxa"/>
              <w:right w:w="105" w:type="dxa"/>
            </w:tcMar>
            <w:vAlign w:val="center"/>
          </w:tcPr>
          <w:p w14:paraId="1178EEAC">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2021年12卷</w:t>
            </w:r>
          </w:p>
          <w:p w14:paraId="02EB6429">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746517</w:t>
            </w:r>
          </w:p>
        </w:tc>
        <w:tc>
          <w:tcPr>
            <w:tcW w:w="1605" w:type="dxa"/>
            <w:tcBorders>
              <w:top w:val="nil"/>
              <w:left w:val="nil"/>
              <w:bottom w:val="single" w:color="auto" w:sz="6" w:space="0"/>
              <w:right w:val="single" w:color="auto" w:sz="6" w:space="0"/>
            </w:tcBorders>
            <w:shd w:val="clear" w:color="auto" w:fill="auto"/>
            <w:tcMar>
              <w:left w:w="105" w:type="dxa"/>
              <w:right w:w="105" w:type="dxa"/>
            </w:tcMar>
            <w:vAlign w:val="center"/>
          </w:tcPr>
          <w:p w14:paraId="315B42EF">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2021-10-25</w:t>
            </w:r>
          </w:p>
        </w:tc>
        <w:tc>
          <w:tcPr>
            <w:tcW w:w="1272" w:type="dxa"/>
            <w:tcBorders>
              <w:top w:val="nil"/>
              <w:left w:val="nil"/>
              <w:bottom w:val="single" w:color="auto" w:sz="6" w:space="0"/>
              <w:right w:val="single" w:color="auto" w:sz="6" w:space="0"/>
            </w:tcBorders>
            <w:shd w:val="clear" w:color="auto" w:fill="auto"/>
            <w:tcMar>
              <w:left w:w="105" w:type="dxa"/>
              <w:right w:w="105" w:type="dxa"/>
            </w:tcMar>
            <w:vAlign w:val="center"/>
          </w:tcPr>
          <w:p w14:paraId="2177F3FA">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周勇</w:t>
            </w:r>
          </w:p>
        </w:tc>
        <w:tc>
          <w:tcPr>
            <w:tcW w:w="863" w:type="dxa"/>
            <w:tcBorders>
              <w:top w:val="nil"/>
              <w:left w:val="nil"/>
              <w:bottom w:val="single" w:color="auto" w:sz="6" w:space="0"/>
              <w:right w:val="single" w:color="auto" w:sz="6" w:space="0"/>
            </w:tcBorders>
            <w:shd w:val="clear" w:color="auto" w:fill="auto"/>
            <w:tcMar>
              <w:left w:w="105" w:type="dxa"/>
              <w:right w:w="105" w:type="dxa"/>
            </w:tcMar>
            <w:vAlign w:val="center"/>
          </w:tcPr>
          <w:p w14:paraId="4ABD54D4">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杨有新</w:t>
            </w:r>
          </w:p>
        </w:tc>
        <w:tc>
          <w:tcPr>
            <w:tcW w:w="1559" w:type="dxa"/>
            <w:tcBorders>
              <w:top w:val="nil"/>
              <w:left w:val="nil"/>
              <w:bottom w:val="single" w:color="auto" w:sz="6" w:space="0"/>
              <w:right w:val="single" w:color="auto" w:sz="6" w:space="0"/>
            </w:tcBorders>
            <w:shd w:val="clear" w:color="auto" w:fill="auto"/>
            <w:tcMar>
              <w:left w:w="105" w:type="dxa"/>
              <w:right w:w="105" w:type="dxa"/>
            </w:tcMar>
            <w:vAlign w:val="center"/>
          </w:tcPr>
          <w:p w14:paraId="08BB0FFF">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是</w:t>
            </w:r>
          </w:p>
        </w:tc>
      </w:tr>
      <w:tr w14:paraId="6B81DC04">
        <w:tblPrEx>
          <w:tblCellMar>
            <w:top w:w="0" w:type="dxa"/>
            <w:left w:w="0" w:type="dxa"/>
            <w:bottom w:w="0" w:type="dxa"/>
            <w:right w:w="0" w:type="dxa"/>
          </w:tblCellMar>
        </w:tblPrEx>
        <w:trPr>
          <w:trHeight w:val="885" w:hRule="atLeast"/>
          <w:tblCellSpacing w:w="0" w:type="dxa"/>
        </w:trPr>
        <w:tc>
          <w:tcPr>
            <w:tcW w:w="0" w:type="auto"/>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7F3EBACF">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5</w:t>
            </w:r>
          </w:p>
        </w:tc>
        <w:tc>
          <w:tcPr>
            <w:tcW w:w="6643" w:type="dxa"/>
            <w:tcBorders>
              <w:top w:val="nil"/>
              <w:left w:val="nil"/>
              <w:bottom w:val="single" w:color="auto" w:sz="6" w:space="0"/>
              <w:right w:val="single" w:color="auto" w:sz="6" w:space="0"/>
            </w:tcBorders>
            <w:shd w:val="clear" w:color="auto" w:fill="auto"/>
            <w:tcMar>
              <w:left w:w="105" w:type="dxa"/>
              <w:right w:w="105" w:type="dxa"/>
            </w:tcMar>
            <w:vAlign w:val="center"/>
          </w:tcPr>
          <w:p w14:paraId="71257C01">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Red light-induced systemic resistance against root-knot nematode is mediated by a coordinated regulation of salicylic acid, jasmonic acid and redox signaling in watermelon</w:t>
            </w:r>
          </w:p>
        </w:tc>
        <w:tc>
          <w:tcPr>
            <w:tcW w:w="1710" w:type="dxa"/>
            <w:tcBorders>
              <w:top w:val="nil"/>
              <w:left w:val="nil"/>
              <w:bottom w:val="single" w:color="auto" w:sz="6" w:space="0"/>
              <w:right w:val="single" w:color="auto" w:sz="6" w:space="0"/>
            </w:tcBorders>
            <w:shd w:val="clear" w:color="auto" w:fill="auto"/>
            <w:tcMar>
              <w:left w:w="105" w:type="dxa"/>
              <w:right w:w="105" w:type="dxa"/>
            </w:tcMar>
            <w:vAlign w:val="center"/>
          </w:tcPr>
          <w:p w14:paraId="2BC5E643">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2018年9卷</w:t>
            </w:r>
          </w:p>
          <w:p w14:paraId="33D1D08D">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899页</w:t>
            </w:r>
          </w:p>
        </w:tc>
        <w:tc>
          <w:tcPr>
            <w:tcW w:w="1605" w:type="dxa"/>
            <w:tcBorders>
              <w:top w:val="nil"/>
              <w:left w:val="nil"/>
              <w:bottom w:val="single" w:color="auto" w:sz="6" w:space="0"/>
              <w:right w:val="single" w:color="auto" w:sz="6" w:space="0"/>
            </w:tcBorders>
            <w:shd w:val="clear" w:color="auto" w:fill="auto"/>
            <w:tcMar>
              <w:left w:w="105" w:type="dxa"/>
              <w:right w:w="105" w:type="dxa"/>
            </w:tcMar>
            <w:vAlign w:val="center"/>
          </w:tcPr>
          <w:p w14:paraId="2FFC0DCD">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2018-07-10</w:t>
            </w:r>
          </w:p>
        </w:tc>
        <w:tc>
          <w:tcPr>
            <w:tcW w:w="1272" w:type="dxa"/>
            <w:tcBorders>
              <w:top w:val="nil"/>
              <w:left w:val="nil"/>
              <w:bottom w:val="single" w:color="auto" w:sz="6" w:space="0"/>
              <w:right w:val="single" w:color="auto" w:sz="6" w:space="0"/>
            </w:tcBorders>
            <w:shd w:val="clear" w:color="auto" w:fill="auto"/>
            <w:tcMar>
              <w:left w:w="105" w:type="dxa"/>
              <w:right w:w="105" w:type="dxa"/>
            </w:tcMar>
            <w:vAlign w:val="center"/>
          </w:tcPr>
          <w:p w14:paraId="49D7A54D">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陈金印</w:t>
            </w:r>
          </w:p>
        </w:tc>
        <w:tc>
          <w:tcPr>
            <w:tcW w:w="863" w:type="dxa"/>
            <w:tcBorders>
              <w:top w:val="nil"/>
              <w:left w:val="nil"/>
              <w:bottom w:val="single" w:color="auto" w:sz="6" w:space="0"/>
              <w:right w:val="single" w:color="auto" w:sz="6" w:space="0"/>
            </w:tcBorders>
            <w:shd w:val="clear" w:color="auto" w:fill="auto"/>
            <w:tcMar>
              <w:left w:w="105" w:type="dxa"/>
              <w:right w:w="105" w:type="dxa"/>
            </w:tcMar>
            <w:vAlign w:val="center"/>
          </w:tcPr>
          <w:p w14:paraId="53DF4D82">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杨有新</w:t>
            </w:r>
          </w:p>
        </w:tc>
        <w:tc>
          <w:tcPr>
            <w:tcW w:w="1559" w:type="dxa"/>
            <w:tcBorders>
              <w:top w:val="nil"/>
              <w:left w:val="nil"/>
              <w:bottom w:val="single" w:color="auto" w:sz="6" w:space="0"/>
              <w:right w:val="single" w:color="auto" w:sz="6" w:space="0"/>
            </w:tcBorders>
            <w:shd w:val="clear" w:color="auto" w:fill="auto"/>
            <w:tcMar>
              <w:left w:w="105" w:type="dxa"/>
              <w:right w:w="105" w:type="dxa"/>
            </w:tcMar>
            <w:vAlign w:val="center"/>
          </w:tcPr>
          <w:p w14:paraId="33DE138A">
            <w:pPr>
              <w:pStyle w:val="5"/>
              <w:spacing w:line="320" w:lineRule="exact"/>
              <w:ind w:firstLine="0" w:firstLineChars="0"/>
              <w:jc w:val="center"/>
              <w:rPr>
                <w:rFonts w:ascii="Times New Roman" w:eastAsia="仿宋_GB2312"/>
                <w:color w:val="666666"/>
                <w:sz w:val="21"/>
                <w:szCs w:val="21"/>
                <w:shd w:val="clear" w:color="auto" w:fill="FFFFFF"/>
              </w:rPr>
            </w:pPr>
            <w:r>
              <w:rPr>
                <w:rFonts w:ascii="Times New Roman" w:eastAsia="仿宋_GB2312"/>
                <w:color w:val="666666"/>
                <w:sz w:val="21"/>
                <w:szCs w:val="21"/>
                <w:shd w:val="clear" w:color="auto" w:fill="FFFFFF"/>
              </w:rPr>
              <w:t>是</w:t>
            </w:r>
          </w:p>
        </w:tc>
      </w:tr>
    </w:tbl>
    <w:p w14:paraId="4F0B3E92">
      <w:pPr>
        <w:jc w:val="center"/>
        <w:rPr>
          <w:rFonts w:eastAsia="黑体"/>
          <w:b/>
          <w:sz w:val="32"/>
          <w:szCs w:val="32"/>
        </w:rPr>
      </w:pPr>
    </w:p>
    <w:p w14:paraId="123BC2AF">
      <w:pPr>
        <w:jc w:val="center"/>
        <w:rPr>
          <w:rFonts w:eastAsia="黑体"/>
          <w:bCs/>
          <w:sz w:val="32"/>
          <w:szCs w:val="32"/>
        </w:rPr>
      </w:pPr>
    </w:p>
    <w:p w14:paraId="5313E8DA">
      <w:pPr>
        <w:jc w:val="center"/>
        <w:rPr>
          <w:rFonts w:eastAsia="黑体"/>
          <w:bCs/>
          <w:sz w:val="32"/>
          <w:szCs w:val="32"/>
        </w:rPr>
      </w:pPr>
    </w:p>
    <w:p w14:paraId="453F0B60">
      <w:pPr>
        <w:jc w:val="center"/>
        <w:rPr>
          <w:rFonts w:eastAsia="黑体"/>
          <w:bCs/>
          <w:sz w:val="32"/>
          <w:szCs w:val="32"/>
        </w:rPr>
      </w:pPr>
      <w:r>
        <w:rPr>
          <w:rFonts w:eastAsia="黑体"/>
          <w:bCs/>
          <w:sz w:val="32"/>
          <w:szCs w:val="32"/>
        </w:rPr>
        <w:t>附表2：候选人代表性知识产权</w:t>
      </w:r>
    </w:p>
    <w:tbl>
      <w:tblPr>
        <w:tblStyle w:val="10"/>
        <w:tblW w:w="153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548"/>
        <w:gridCol w:w="1548"/>
        <w:gridCol w:w="1548"/>
        <w:gridCol w:w="2137"/>
        <w:gridCol w:w="1548"/>
        <w:gridCol w:w="1548"/>
        <w:gridCol w:w="1548"/>
        <w:gridCol w:w="1548"/>
        <w:gridCol w:w="1538"/>
      </w:tblGrid>
      <w:tr w14:paraId="2089FB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843" w:type="dxa"/>
            <w:vAlign w:val="center"/>
          </w:tcPr>
          <w:p w14:paraId="055EBCDD">
            <w:pPr>
              <w:jc w:val="center"/>
              <w:rPr>
                <w:rFonts w:eastAsia="仿宋_GB2312"/>
                <w:color w:val="000000"/>
                <w:sz w:val="24"/>
              </w:rPr>
            </w:pPr>
            <w:r>
              <w:rPr>
                <w:rFonts w:eastAsia="仿宋_GB2312"/>
                <w:color w:val="000000"/>
                <w:sz w:val="24"/>
              </w:rPr>
              <w:t>序号</w:t>
            </w:r>
          </w:p>
        </w:tc>
        <w:tc>
          <w:tcPr>
            <w:tcW w:w="1548" w:type="dxa"/>
            <w:vAlign w:val="center"/>
          </w:tcPr>
          <w:p w14:paraId="480D8E87">
            <w:pPr>
              <w:jc w:val="center"/>
              <w:rPr>
                <w:rFonts w:eastAsia="仿宋_GB2312"/>
                <w:sz w:val="24"/>
              </w:rPr>
            </w:pPr>
            <w:r>
              <w:rPr>
                <w:rFonts w:eastAsia="仿宋_GB2312"/>
                <w:sz w:val="24"/>
              </w:rPr>
              <w:t>知识产权（标准）类别</w:t>
            </w:r>
          </w:p>
        </w:tc>
        <w:tc>
          <w:tcPr>
            <w:tcW w:w="1548" w:type="dxa"/>
            <w:vAlign w:val="center"/>
          </w:tcPr>
          <w:p w14:paraId="1E7EFF0B">
            <w:pPr>
              <w:jc w:val="center"/>
              <w:rPr>
                <w:rFonts w:eastAsia="仿宋_GB2312"/>
                <w:sz w:val="24"/>
              </w:rPr>
            </w:pPr>
            <w:r>
              <w:rPr>
                <w:rFonts w:eastAsia="仿宋_GB2312"/>
                <w:sz w:val="24"/>
              </w:rPr>
              <w:t>知识产权（标准）具体名称</w:t>
            </w:r>
          </w:p>
        </w:tc>
        <w:tc>
          <w:tcPr>
            <w:tcW w:w="1548" w:type="dxa"/>
            <w:vAlign w:val="center"/>
          </w:tcPr>
          <w:p w14:paraId="2454603B">
            <w:pPr>
              <w:jc w:val="center"/>
              <w:rPr>
                <w:rFonts w:eastAsia="仿宋_GB2312"/>
                <w:sz w:val="24"/>
              </w:rPr>
            </w:pPr>
            <w:r>
              <w:rPr>
                <w:rFonts w:eastAsia="仿宋_GB2312"/>
                <w:sz w:val="24"/>
              </w:rPr>
              <w:t>国家（地区）</w:t>
            </w:r>
          </w:p>
        </w:tc>
        <w:tc>
          <w:tcPr>
            <w:tcW w:w="2137" w:type="dxa"/>
            <w:vAlign w:val="center"/>
          </w:tcPr>
          <w:p w14:paraId="1FA01D43">
            <w:pPr>
              <w:jc w:val="center"/>
              <w:rPr>
                <w:rFonts w:eastAsia="仿宋_GB2312"/>
                <w:sz w:val="24"/>
              </w:rPr>
            </w:pPr>
            <w:r>
              <w:rPr>
                <w:rFonts w:eastAsia="仿宋_GB2312"/>
                <w:sz w:val="24"/>
              </w:rPr>
              <w:t>授权号（标准编号）</w:t>
            </w:r>
          </w:p>
        </w:tc>
        <w:tc>
          <w:tcPr>
            <w:tcW w:w="1548" w:type="dxa"/>
            <w:vAlign w:val="center"/>
          </w:tcPr>
          <w:p w14:paraId="18DBFC2A">
            <w:pPr>
              <w:jc w:val="center"/>
              <w:rPr>
                <w:rFonts w:eastAsia="仿宋_GB2312"/>
                <w:sz w:val="24"/>
              </w:rPr>
            </w:pPr>
            <w:r>
              <w:rPr>
                <w:rFonts w:eastAsia="仿宋_GB2312"/>
                <w:sz w:val="24"/>
              </w:rPr>
              <w:t>授权（标准发布）日期</w:t>
            </w:r>
          </w:p>
        </w:tc>
        <w:tc>
          <w:tcPr>
            <w:tcW w:w="1548" w:type="dxa"/>
            <w:vAlign w:val="center"/>
          </w:tcPr>
          <w:p w14:paraId="4250F5F9">
            <w:pPr>
              <w:jc w:val="center"/>
              <w:rPr>
                <w:rFonts w:eastAsia="仿宋_GB2312"/>
                <w:sz w:val="24"/>
              </w:rPr>
            </w:pPr>
            <w:r>
              <w:rPr>
                <w:rFonts w:eastAsia="仿宋_GB2312"/>
                <w:sz w:val="24"/>
              </w:rPr>
              <w:t>证书编号（标准批准发布部门）</w:t>
            </w:r>
          </w:p>
        </w:tc>
        <w:tc>
          <w:tcPr>
            <w:tcW w:w="1548" w:type="dxa"/>
            <w:vAlign w:val="center"/>
          </w:tcPr>
          <w:p w14:paraId="7BA6E94A">
            <w:pPr>
              <w:jc w:val="center"/>
              <w:rPr>
                <w:rFonts w:eastAsia="仿宋_GB2312"/>
                <w:sz w:val="24"/>
              </w:rPr>
            </w:pPr>
            <w:r>
              <w:rPr>
                <w:rFonts w:eastAsia="仿宋_GB2312"/>
                <w:sz w:val="24"/>
              </w:rPr>
              <w:t>权利人（标准起草单位）</w:t>
            </w:r>
          </w:p>
        </w:tc>
        <w:tc>
          <w:tcPr>
            <w:tcW w:w="1548" w:type="dxa"/>
            <w:vAlign w:val="center"/>
          </w:tcPr>
          <w:p w14:paraId="13399474">
            <w:pPr>
              <w:jc w:val="center"/>
              <w:rPr>
                <w:rFonts w:eastAsia="仿宋_GB2312"/>
                <w:sz w:val="24"/>
              </w:rPr>
            </w:pPr>
            <w:r>
              <w:rPr>
                <w:rFonts w:hint="eastAsia" w:eastAsia="仿宋_GB2312"/>
                <w:sz w:val="24"/>
              </w:rPr>
              <w:t>第一</w:t>
            </w:r>
            <w:r>
              <w:rPr>
                <w:rFonts w:eastAsia="仿宋_GB2312"/>
                <w:sz w:val="24"/>
              </w:rPr>
              <w:t>发明人（标准起草人）</w:t>
            </w:r>
          </w:p>
        </w:tc>
        <w:tc>
          <w:tcPr>
            <w:tcW w:w="1538" w:type="dxa"/>
            <w:vAlign w:val="center"/>
          </w:tcPr>
          <w:p w14:paraId="0BA48491">
            <w:pPr>
              <w:jc w:val="center"/>
              <w:rPr>
                <w:rFonts w:eastAsia="仿宋_GB2312"/>
                <w:sz w:val="24"/>
              </w:rPr>
            </w:pPr>
            <w:r>
              <w:rPr>
                <w:rFonts w:eastAsia="仿宋_GB2312"/>
                <w:sz w:val="24"/>
              </w:rPr>
              <w:t>权利人（起草单位）是否在赣单位</w:t>
            </w:r>
          </w:p>
        </w:tc>
      </w:tr>
      <w:tr w14:paraId="18806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843" w:type="dxa"/>
            <w:vAlign w:val="center"/>
          </w:tcPr>
          <w:p w14:paraId="734B216C">
            <w:pPr>
              <w:pStyle w:val="5"/>
              <w:rPr>
                <w:rFonts w:ascii="Times New Roman" w:eastAsia="仿宋_GB2312"/>
              </w:rPr>
            </w:pPr>
            <w:r>
              <w:rPr>
                <w:rFonts w:ascii="Times New Roman" w:eastAsia="仿宋_GB2312"/>
              </w:rPr>
              <w:t>1</w:t>
            </w:r>
          </w:p>
        </w:tc>
        <w:tc>
          <w:tcPr>
            <w:tcW w:w="1548" w:type="dxa"/>
            <w:vAlign w:val="center"/>
          </w:tcPr>
          <w:p w14:paraId="6CB2EACF">
            <w:pPr>
              <w:pStyle w:val="5"/>
              <w:ind w:firstLine="0" w:firstLineChars="0"/>
              <w:jc w:val="center"/>
              <w:rPr>
                <w:rFonts w:ascii="Times New Roman" w:eastAsia="仿宋_GB2312"/>
              </w:rPr>
            </w:pPr>
            <w:r>
              <w:rPr>
                <w:rFonts w:ascii="Times New Roman" w:eastAsia="仿宋_GB2312"/>
              </w:rPr>
              <w:t>发明专利</w:t>
            </w:r>
          </w:p>
        </w:tc>
        <w:tc>
          <w:tcPr>
            <w:tcW w:w="1548" w:type="dxa"/>
            <w:vAlign w:val="center"/>
          </w:tcPr>
          <w:p w14:paraId="0F5FC404">
            <w:pPr>
              <w:pStyle w:val="5"/>
              <w:spacing w:line="320" w:lineRule="exact"/>
              <w:ind w:firstLine="0" w:firstLineChars="0"/>
              <w:jc w:val="center"/>
              <w:rPr>
                <w:rFonts w:ascii="Times New Roman" w:eastAsia="仿宋_GB2312"/>
              </w:rPr>
            </w:pPr>
            <w:r>
              <w:rPr>
                <w:rFonts w:ascii="Times New Roman" w:eastAsia="仿宋_GB2312"/>
                <w:color w:val="666666"/>
                <w:shd w:val="clear" w:color="auto" w:fill="FFFFFF"/>
              </w:rPr>
              <w:t>一种利用褪黑素增加黄瓜雌花率的方法</w:t>
            </w:r>
          </w:p>
        </w:tc>
        <w:tc>
          <w:tcPr>
            <w:tcW w:w="1548" w:type="dxa"/>
            <w:vAlign w:val="center"/>
          </w:tcPr>
          <w:p w14:paraId="0CE5639F">
            <w:pPr>
              <w:pStyle w:val="5"/>
              <w:spacing w:line="320" w:lineRule="exact"/>
              <w:jc w:val="center"/>
              <w:rPr>
                <w:rFonts w:ascii="Times New Roman" w:eastAsia="仿宋_GB2312"/>
              </w:rPr>
            </w:pPr>
            <w:r>
              <w:rPr>
                <w:rFonts w:ascii="Times New Roman" w:eastAsia="仿宋_GB2312"/>
              </w:rPr>
              <w:t>中国</w:t>
            </w:r>
          </w:p>
        </w:tc>
        <w:tc>
          <w:tcPr>
            <w:tcW w:w="2137" w:type="dxa"/>
            <w:vAlign w:val="center"/>
          </w:tcPr>
          <w:p w14:paraId="26BAF9FA">
            <w:pPr>
              <w:pStyle w:val="5"/>
              <w:spacing w:line="320" w:lineRule="exact"/>
              <w:ind w:firstLine="240" w:firstLineChars="100"/>
              <w:jc w:val="center"/>
              <w:rPr>
                <w:rFonts w:ascii="Times New Roman" w:eastAsia="仿宋_GB2312"/>
              </w:rPr>
            </w:pPr>
            <w:r>
              <w:rPr>
                <w:rFonts w:ascii="Times New Roman" w:eastAsia="仿宋_GB2312"/>
                <w:color w:val="666666"/>
                <w:shd w:val="clear" w:color="auto" w:fill="FFFFFF"/>
              </w:rPr>
              <w:t>CN 108013037 B</w:t>
            </w:r>
          </w:p>
        </w:tc>
        <w:tc>
          <w:tcPr>
            <w:tcW w:w="1548" w:type="dxa"/>
            <w:vAlign w:val="center"/>
          </w:tcPr>
          <w:p w14:paraId="673EB53D">
            <w:pPr>
              <w:pStyle w:val="5"/>
              <w:spacing w:line="320" w:lineRule="exact"/>
              <w:ind w:firstLine="0" w:firstLineChars="0"/>
              <w:jc w:val="center"/>
              <w:rPr>
                <w:rFonts w:ascii="Times New Roman" w:eastAsia="仿宋_GB2312"/>
              </w:rPr>
            </w:pPr>
            <w:r>
              <w:rPr>
                <w:rFonts w:ascii="Times New Roman" w:eastAsia="仿宋_GB2312"/>
                <w:color w:val="666666"/>
                <w:shd w:val="clear" w:color="auto" w:fill="FFFFFF"/>
              </w:rPr>
              <w:t>2019-06-21</w:t>
            </w:r>
          </w:p>
        </w:tc>
        <w:tc>
          <w:tcPr>
            <w:tcW w:w="1548" w:type="dxa"/>
            <w:vAlign w:val="center"/>
          </w:tcPr>
          <w:p w14:paraId="043BC41F">
            <w:pPr>
              <w:pStyle w:val="5"/>
              <w:spacing w:line="320" w:lineRule="exact"/>
              <w:ind w:firstLine="240" w:firstLineChars="100"/>
              <w:rPr>
                <w:rFonts w:ascii="Times New Roman" w:eastAsia="仿宋_GB2312"/>
              </w:rPr>
            </w:pPr>
            <w:r>
              <w:rPr>
                <w:rFonts w:ascii="Times New Roman" w:eastAsia="仿宋_GB2312"/>
                <w:color w:val="666666"/>
                <w:shd w:val="clear" w:color="auto" w:fill="FFFFFF"/>
              </w:rPr>
              <w:t>3896056</w:t>
            </w:r>
          </w:p>
        </w:tc>
        <w:tc>
          <w:tcPr>
            <w:tcW w:w="1548" w:type="dxa"/>
            <w:vAlign w:val="center"/>
          </w:tcPr>
          <w:p w14:paraId="3E5DE29A">
            <w:pPr>
              <w:pStyle w:val="5"/>
              <w:spacing w:line="320" w:lineRule="exact"/>
              <w:ind w:firstLine="0" w:firstLineChars="0"/>
              <w:jc w:val="center"/>
              <w:rPr>
                <w:rFonts w:ascii="Times New Roman" w:eastAsia="仿宋_GB2312"/>
              </w:rPr>
            </w:pPr>
            <w:r>
              <w:rPr>
                <w:rFonts w:ascii="Times New Roman" w:eastAsia="仿宋_GB2312"/>
                <w:color w:val="666666"/>
              </w:rPr>
              <w:t>江西农业大学</w:t>
            </w:r>
          </w:p>
        </w:tc>
        <w:tc>
          <w:tcPr>
            <w:tcW w:w="1548" w:type="dxa"/>
            <w:vAlign w:val="center"/>
          </w:tcPr>
          <w:p w14:paraId="2336A5B9">
            <w:pPr>
              <w:pStyle w:val="5"/>
              <w:spacing w:line="320" w:lineRule="exact"/>
              <w:ind w:firstLine="0" w:firstLineChars="0"/>
              <w:jc w:val="center"/>
              <w:rPr>
                <w:rFonts w:ascii="Times New Roman" w:eastAsia="仿宋_GB2312"/>
              </w:rPr>
            </w:pPr>
            <w:r>
              <w:rPr>
                <w:rFonts w:ascii="Times New Roman" w:eastAsia="仿宋_GB2312"/>
              </w:rPr>
              <w:t>杨有新</w:t>
            </w:r>
          </w:p>
        </w:tc>
        <w:tc>
          <w:tcPr>
            <w:tcW w:w="1538" w:type="dxa"/>
            <w:vAlign w:val="center"/>
          </w:tcPr>
          <w:p w14:paraId="7107E58D">
            <w:pPr>
              <w:pStyle w:val="5"/>
              <w:jc w:val="center"/>
              <w:rPr>
                <w:rFonts w:ascii="Times New Roman" w:eastAsia="仿宋_GB2312"/>
              </w:rPr>
            </w:pPr>
            <w:r>
              <w:rPr>
                <w:rFonts w:ascii="Times New Roman" w:eastAsia="仿宋_GB2312"/>
              </w:rPr>
              <w:t>是</w:t>
            </w:r>
          </w:p>
        </w:tc>
      </w:tr>
      <w:tr w14:paraId="6577F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843" w:type="dxa"/>
            <w:vAlign w:val="center"/>
          </w:tcPr>
          <w:p w14:paraId="3DC5AFF0">
            <w:pPr>
              <w:pStyle w:val="5"/>
              <w:rPr>
                <w:rFonts w:eastAsia="仿宋_GB2312"/>
              </w:rPr>
            </w:pPr>
          </w:p>
        </w:tc>
        <w:tc>
          <w:tcPr>
            <w:tcW w:w="1548" w:type="dxa"/>
            <w:vAlign w:val="center"/>
          </w:tcPr>
          <w:p w14:paraId="3AAAEE87">
            <w:pPr>
              <w:pStyle w:val="5"/>
              <w:rPr>
                <w:rFonts w:eastAsia="仿宋_GB2312"/>
              </w:rPr>
            </w:pPr>
          </w:p>
        </w:tc>
        <w:tc>
          <w:tcPr>
            <w:tcW w:w="1548" w:type="dxa"/>
            <w:vAlign w:val="center"/>
          </w:tcPr>
          <w:p w14:paraId="18ADB1ED">
            <w:pPr>
              <w:spacing w:line="320" w:lineRule="exact"/>
              <w:jc w:val="center"/>
              <w:rPr>
                <w:rFonts w:ascii="仿宋_GB2312" w:eastAsia="仿宋_GB2312"/>
                <w:sz w:val="24"/>
              </w:rPr>
            </w:pPr>
          </w:p>
        </w:tc>
        <w:tc>
          <w:tcPr>
            <w:tcW w:w="1548" w:type="dxa"/>
            <w:vAlign w:val="center"/>
          </w:tcPr>
          <w:p w14:paraId="28B84589">
            <w:pPr>
              <w:spacing w:line="320" w:lineRule="exact"/>
              <w:jc w:val="center"/>
              <w:rPr>
                <w:rFonts w:ascii="仿宋_GB2312" w:eastAsia="仿宋_GB2312"/>
                <w:sz w:val="24"/>
              </w:rPr>
            </w:pPr>
          </w:p>
        </w:tc>
        <w:tc>
          <w:tcPr>
            <w:tcW w:w="2137" w:type="dxa"/>
            <w:vAlign w:val="center"/>
          </w:tcPr>
          <w:p w14:paraId="26562B6C">
            <w:pPr>
              <w:spacing w:line="320" w:lineRule="exact"/>
              <w:jc w:val="center"/>
              <w:rPr>
                <w:rFonts w:ascii="仿宋_GB2312" w:eastAsia="仿宋_GB2312"/>
                <w:sz w:val="24"/>
              </w:rPr>
            </w:pPr>
          </w:p>
        </w:tc>
        <w:tc>
          <w:tcPr>
            <w:tcW w:w="1548" w:type="dxa"/>
            <w:vAlign w:val="center"/>
          </w:tcPr>
          <w:p w14:paraId="249877BD">
            <w:pPr>
              <w:spacing w:line="320" w:lineRule="exact"/>
              <w:jc w:val="center"/>
              <w:rPr>
                <w:rFonts w:ascii="仿宋_GB2312" w:eastAsia="仿宋_GB2312"/>
                <w:sz w:val="24"/>
              </w:rPr>
            </w:pPr>
          </w:p>
        </w:tc>
        <w:tc>
          <w:tcPr>
            <w:tcW w:w="1548" w:type="dxa"/>
            <w:vAlign w:val="center"/>
          </w:tcPr>
          <w:p w14:paraId="27CE9AEA">
            <w:pPr>
              <w:spacing w:line="320" w:lineRule="exact"/>
              <w:jc w:val="center"/>
              <w:rPr>
                <w:rFonts w:ascii="仿宋_GB2312" w:eastAsia="仿宋_GB2312"/>
                <w:sz w:val="24"/>
              </w:rPr>
            </w:pPr>
          </w:p>
        </w:tc>
        <w:tc>
          <w:tcPr>
            <w:tcW w:w="1548" w:type="dxa"/>
            <w:vAlign w:val="center"/>
          </w:tcPr>
          <w:p w14:paraId="62312D9D">
            <w:pPr>
              <w:spacing w:line="320" w:lineRule="exact"/>
              <w:jc w:val="center"/>
              <w:rPr>
                <w:rFonts w:ascii="仿宋_GB2312" w:eastAsia="仿宋_GB2312"/>
                <w:sz w:val="24"/>
              </w:rPr>
            </w:pPr>
          </w:p>
        </w:tc>
        <w:tc>
          <w:tcPr>
            <w:tcW w:w="1548" w:type="dxa"/>
            <w:vAlign w:val="center"/>
          </w:tcPr>
          <w:p w14:paraId="361FC02C">
            <w:pPr>
              <w:spacing w:line="320" w:lineRule="exact"/>
              <w:jc w:val="center"/>
              <w:rPr>
                <w:rFonts w:ascii="仿宋_GB2312" w:eastAsia="仿宋_GB2312"/>
                <w:sz w:val="24"/>
              </w:rPr>
            </w:pPr>
          </w:p>
        </w:tc>
        <w:tc>
          <w:tcPr>
            <w:tcW w:w="1538" w:type="dxa"/>
            <w:vAlign w:val="center"/>
          </w:tcPr>
          <w:p w14:paraId="2B501777">
            <w:pPr>
              <w:pStyle w:val="5"/>
              <w:rPr>
                <w:rFonts w:eastAsia="仿宋_GB2312"/>
              </w:rPr>
            </w:pPr>
          </w:p>
        </w:tc>
      </w:tr>
      <w:tr w14:paraId="6D663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843" w:type="dxa"/>
            <w:vAlign w:val="center"/>
          </w:tcPr>
          <w:p w14:paraId="2E151A82">
            <w:pPr>
              <w:pStyle w:val="5"/>
              <w:rPr>
                <w:rFonts w:eastAsia="仿宋_GB2312"/>
              </w:rPr>
            </w:pPr>
          </w:p>
        </w:tc>
        <w:tc>
          <w:tcPr>
            <w:tcW w:w="1548" w:type="dxa"/>
            <w:vAlign w:val="center"/>
          </w:tcPr>
          <w:p w14:paraId="7062AAD8">
            <w:pPr>
              <w:pStyle w:val="5"/>
              <w:rPr>
                <w:rFonts w:eastAsia="仿宋_GB2312"/>
              </w:rPr>
            </w:pPr>
          </w:p>
        </w:tc>
        <w:tc>
          <w:tcPr>
            <w:tcW w:w="1548" w:type="dxa"/>
            <w:vAlign w:val="center"/>
          </w:tcPr>
          <w:p w14:paraId="2B5FD34D">
            <w:pPr>
              <w:spacing w:line="320" w:lineRule="exact"/>
              <w:jc w:val="center"/>
              <w:rPr>
                <w:rFonts w:ascii="仿宋_GB2312" w:eastAsia="仿宋_GB2312"/>
                <w:sz w:val="24"/>
              </w:rPr>
            </w:pPr>
          </w:p>
        </w:tc>
        <w:tc>
          <w:tcPr>
            <w:tcW w:w="1548" w:type="dxa"/>
            <w:vAlign w:val="center"/>
          </w:tcPr>
          <w:p w14:paraId="1F798493">
            <w:pPr>
              <w:spacing w:line="320" w:lineRule="exact"/>
              <w:jc w:val="center"/>
              <w:rPr>
                <w:rFonts w:ascii="仿宋_GB2312" w:eastAsia="仿宋_GB2312"/>
                <w:sz w:val="24"/>
              </w:rPr>
            </w:pPr>
          </w:p>
        </w:tc>
        <w:tc>
          <w:tcPr>
            <w:tcW w:w="2137" w:type="dxa"/>
            <w:vAlign w:val="center"/>
          </w:tcPr>
          <w:p w14:paraId="4F6E737C">
            <w:pPr>
              <w:spacing w:line="320" w:lineRule="exact"/>
              <w:jc w:val="center"/>
              <w:rPr>
                <w:rFonts w:ascii="仿宋_GB2312" w:eastAsia="仿宋_GB2312"/>
                <w:sz w:val="24"/>
              </w:rPr>
            </w:pPr>
          </w:p>
        </w:tc>
        <w:tc>
          <w:tcPr>
            <w:tcW w:w="1548" w:type="dxa"/>
            <w:vAlign w:val="center"/>
          </w:tcPr>
          <w:p w14:paraId="5A9A07C4">
            <w:pPr>
              <w:spacing w:line="320" w:lineRule="exact"/>
              <w:jc w:val="center"/>
              <w:rPr>
                <w:rFonts w:ascii="仿宋_GB2312" w:eastAsia="仿宋_GB2312"/>
                <w:sz w:val="24"/>
              </w:rPr>
            </w:pPr>
          </w:p>
        </w:tc>
        <w:tc>
          <w:tcPr>
            <w:tcW w:w="1548" w:type="dxa"/>
            <w:vAlign w:val="center"/>
          </w:tcPr>
          <w:p w14:paraId="6E73F06F">
            <w:pPr>
              <w:spacing w:line="320" w:lineRule="exact"/>
              <w:jc w:val="center"/>
              <w:rPr>
                <w:rFonts w:ascii="仿宋_GB2312" w:eastAsia="仿宋_GB2312"/>
                <w:sz w:val="24"/>
              </w:rPr>
            </w:pPr>
          </w:p>
        </w:tc>
        <w:tc>
          <w:tcPr>
            <w:tcW w:w="1548" w:type="dxa"/>
            <w:vAlign w:val="center"/>
          </w:tcPr>
          <w:p w14:paraId="79D70E78">
            <w:pPr>
              <w:spacing w:line="320" w:lineRule="exact"/>
              <w:jc w:val="center"/>
              <w:rPr>
                <w:rFonts w:ascii="仿宋_GB2312" w:eastAsia="仿宋_GB2312"/>
                <w:sz w:val="24"/>
              </w:rPr>
            </w:pPr>
          </w:p>
        </w:tc>
        <w:tc>
          <w:tcPr>
            <w:tcW w:w="1548" w:type="dxa"/>
            <w:vAlign w:val="center"/>
          </w:tcPr>
          <w:p w14:paraId="1B1D5058">
            <w:pPr>
              <w:spacing w:line="320" w:lineRule="exact"/>
              <w:jc w:val="center"/>
              <w:rPr>
                <w:rFonts w:ascii="仿宋_GB2312" w:eastAsia="仿宋_GB2312"/>
                <w:sz w:val="24"/>
              </w:rPr>
            </w:pPr>
          </w:p>
        </w:tc>
        <w:tc>
          <w:tcPr>
            <w:tcW w:w="1538" w:type="dxa"/>
            <w:vAlign w:val="center"/>
          </w:tcPr>
          <w:p w14:paraId="533431BD">
            <w:pPr>
              <w:pStyle w:val="5"/>
              <w:rPr>
                <w:rFonts w:eastAsia="仿宋_GB2312"/>
              </w:rPr>
            </w:pPr>
          </w:p>
        </w:tc>
      </w:tr>
    </w:tbl>
    <w:p w14:paraId="5B906954">
      <w:pPr>
        <w:pStyle w:val="4"/>
      </w:pPr>
    </w:p>
    <w:p w14:paraId="320C9585">
      <w:pPr>
        <w:spacing w:line="360" w:lineRule="auto"/>
        <w:ind w:firstLine="420"/>
        <w:rPr>
          <w:rFonts w:eastAsia="楷体"/>
          <w:color w:val="000000" w:themeColor="text1"/>
          <w:sz w:val="24"/>
          <w14:textFill>
            <w14:solidFill>
              <w14:schemeClr w14:val="tx1"/>
            </w14:solidFill>
          </w14:textFill>
        </w:rPr>
      </w:pPr>
    </w:p>
    <w:p w14:paraId="1CD98FFB">
      <w:pPr>
        <w:spacing w:line="360" w:lineRule="auto"/>
        <w:ind w:firstLine="420"/>
        <w:rPr>
          <w:rFonts w:eastAsia="楷体"/>
          <w:color w:val="000000" w:themeColor="text1"/>
          <w:sz w:val="24"/>
          <w14:textFill>
            <w14:solidFill>
              <w14:schemeClr w14:val="tx1"/>
            </w14:solidFill>
          </w14:textFill>
        </w:rPr>
      </w:pPr>
    </w:p>
    <w:p w14:paraId="224F16DE">
      <w:pPr>
        <w:spacing w:line="360" w:lineRule="auto"/>
        <w:ind w:firstLine="420"/>
        <w:rPr>
          <w:rFonts w:eastAsia="楷体"/>
          <w:color w:val="000000" w:themeColor="text1"/>
          <w:sz w:val="24"/>
          <w14:textFill>
            <w14:solidFill>
              <w14:schemeClr w14:val="tx1"/>
            </w14:solidFill>
          </w14:textFill>
        </w:rPr>
      </w:pPr>
    </w:p>
    <w:p w14:paraId="20073E8B"/>
    <w:p w14:paraId="620FDF5D"/>
    <w:p w14:paraId="50CBAB1C"/>
    <w:p w14:paraId="6D429AF7"/>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27EFB">
    <w:pPr>
      <w:pStyle w:val="6"/>
      <w:ind w:right="210" w:rightChars="100" w:firstLine="294" w:firstLineChars="105"/>
      <w:jc w:val="right"/>
    </w:pPr>
    <w:r>
      <w:rPr>
        <w:sz w:val="28"/>
        <w:szCs w:val="28"/>
      </w:rPr>
      <w:t xml:space="preserve">— </w:t>
    </w:r>
    <w:r>
      <w:rPr>
        <w:sz w:val="28"/>
        <w:szCs w:val="28"/>
      </w:rPr>
      <w:fldChar w:fldCharType="begin"/>
    </w:r>
    <w:r>
      <w:rPr>
        <w:sz w:val="28"/>
        <w:szCs w:val="28"/>
      </w:rPr>
      <w:instrText xml:space="preserve">PAGE  </w:instrText>
    </w:r>
    <w:r>
      <w:rPr>
        <w:sz w:val="28"/>
        <w:szCs w:val="28"/>
      </w:rPr>
      <w:fldChar w:fldCharType="separate"/>
    </w:r>
    <w:r>
      <w:rPr>
        <w:sz w:val="28"/>
        <w:szCs w:val="28"/>
      </w:rPr>
      <w:t>2</w:t>
    </w:r>
    <w:r>
      <w:rPr>
        <w:sz w:val="28"/>
        <w:szCs w:val="28"/>
      </w:rPr>
      <w:fldChar w:fldCharType="end"/>
    </w:r>
    <w:r>
      <w:rPr>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2D7"/>
    <w:rsid w:val="0004295E"/>
    <w:rsid w:val="00063704"/>
    <w:rsid w:val="000C6ACE"/>
    <w:rsid w:val="000D54BE"/>
    <w:rsid w:val="001D7819"/>
    <w:rsid w:val="00226680"/>
    <w:rsid w:val="002E1F6F"/>
    <w:rsid w:val="004F51CD"/>
    <w:rsid w:val="00506C12"/>
    <w:rsid w:val="00717098"/>
    <w:rsid w:val="008472D7"/>
    <w:rsid w:val="00950240"/>
    <w:rsid w:val="0097309E"/>
    <w:rsid w:val="00BD03C6"/>
    <w:rsid w:val="00C502B8"/>
    <w:rsid w:val="00F53EA6"/>
    <w:rsid w:val="018A58CB"/>
    <w:rsid w:val="02217FDE"/>
    <w:rsid w:val="02B01361"/>
    <w:rsid w:val="04134A25"/>
    <w:rsid w:val="0424473C"/>
    <w:rsid w:val="04F73FD3"/>
    <w:rsid w:val="069B7C33"/>
    <w:rsid w:val="07AD1A4F"/>
    <w:rsid w:val="08DA2C94"/>
    <w:rsid w:val="09036CC2"/>
    <w:rsid w:val="09F2366C"/>
    <w:rsid w:val="0A346F4D"/>
    <w:rsid w:val="0A6776F8"/>
    <w:rsid w:val="0B3605EB"/>
    <w:rsid w:val="0C252478"/>
    <w:rsid w:val="0CE73CF4"/>
    <w:rsid w:val="0D961154"/>
    <w:rsid w:val="0DFC545B"/>
    <w:rsid w:val="0E015A4A"/>
    <w:rsid w:val="0E3E3CC5"/>
    <w:rsid w:val="0F625791"/>
    <w:rsid w:val="10FE21CA"/>
    <w:rsid w:val="13AC347F"/>
    <w:rsid w:val="15B42ABF"/>
    <w:rsid w:val="16027CCE"/>
    <w:rsid w:val="16CA578B"/>
    <w:rsid w:val="17101686"/>
    <w:rsid w:val="17CA0378"/>
    <w:rsid w:val="1ACF1FDF"/>
    <w:rsid w:val="1C646FED"/>
    <w:rsid w:val="1CD355E8"/>
    <w:rsid w:val="1D484727"/>
    <w:rsid w:val="1D724402"/>
    <w:rsid w:val="1E25455A"/>
    <w:rsid w:val="1E334EC9"/>
    <w:rsid w:val="20F24AC1"/>
    <w:rsid w:val="236C4F92"/>
    <w:rsid w:val="238D507B"/>
    <w:rsid w:val="257124C7"/>
    <w:rsid w:val="25D733A9"/>
    <w:rsid w:val="268169ED"/>
    <w:rsid w:val="29F80D74"/>
    <w:rsid w:val="2AFB1D28"/>
    <w:rsid w:val="2B430715"/>
    <w:rsid w:val="2B4F5BB9"/>
    <w:rsid w:val="2BBD5E0C"/>
    <w:rsid w:val="2C4378FC"/>
    <w:rsid w:val="2D3E73F3"/>
    <w:rsid w:val="2E5B3978"/>
    <w:rsid w:val="2FC843D9"/>
    <w:rsid w:val="2FDF173C"/>
    <w:rsid w:val="2FF16E7B"/>
    <w:rsid w:val="31AD68E8"/>
    <w:rsid w:val="322748ED"/>
    <w:rsid w:val="329B6698"/>
    <w:rsid w:val="34441786"/>
    <w:rsid w:val="346B69DC"/>
    <w:rsid w:val="34B04939"/>
    <w:rsid w:val="36C6203E"/>
    <w:rsid w:val="370276D6"/>
    <w:rsid w:val="37EC4824"/>
    <w:rsid w:val="38726639"/>
    <w:rsid w:val="3A6F5083"/>
    <w:rsid w:val="3AFE01B5"/>
    <w:rsid w:val="3D225820"/>
    <w:rsid w:val="421F2EEA"/>
    <w:rsid w:val="42935042"/>
    <w:rsid w:val="431C7A3B"/>
    <w:rsid w:val="43A7763B"/>
    <w:rsid w:val="43BD0C0D"/>
    <w:rsid w:val="44B57B36"/>
    <w:rsid w:val="44BF4ACE"/>
    <w:rsid w:val="452F5B3A"/>
    <w:rsid w:val="4596640E"/>
    <w:rsid w:val="46BD2CD2"/>
    <w:rsid w:val="46EF3754"/>
    <w:rsid w:val="47925F0D"/>
    <w:rsid w:val="487D096B"/>
    <w:rsid w:val="488F030B"/>
    <w:rsid w:val="4B3A2B43"/>
    <w:rsid w:val="4CD27238"/>
    <w:rsid w:val="4CF11B21"/>
    <w:rsid w:val="4F936C80"/>
    <w:rsid w:val="4FCE41A2"/>
    <w:rsid w:val="5435659E"/>
    <w:rsid w:val="55CA3472"/>
    <w:rsid w:val="56D26326"/>
    <w:rsid w:val="570B7A8A"/>
    <w:rsid w:val="582C5F09"/>
    <w:rsid w:val="58FE78A6"/>
    <w:rsid w:val="5B200126"/>
    <w:rsid w:val="5B295E7C"/>
    <w:rsid w:val="5B461090"/>
    <w:rsid w:val="5C3242F4"/>
    <w:rsid w:val="5D89523B"/>
    <w:rsid w:val="5E8F1178"/>
    <w:rsid w:val="5F2F0120"/>
    <w:rsid w:val="60341DFF"/>
    <w:rsid w:val="61363955"/>
    <w:rsid w:val="61722BDF"/>
    <w:rsid w:val="621A1837"/>
    <w:rsid w:val="63E86F8D"/>
    <w:rsid w:val="644F7208"/>
    <w:rsid w:val="64850E7B"/>
    <w:rsid w:val="64D21BE7"/>
    <w:rsid w:val="659A6BA8"/>
    <w:rsid w:val="662F5543"/>
    <w:rsid w:val="66833819"/>
    <w:rsid w:val="66952ECC"/>
    <w:rsid w:val="671E1113"/>
    <w:rsid w:val="68AF64C7"/>
    <w:rsid w:val="6AC16709"/>
    <w:rsid w:val="6C5630FD"/>
    <w:rsid w:val="716F398C"/>
    <w:rsid w:val="719A3A8C"/>
    <w:rsid w:val="74312486"/>
    <w:rsid w:val="75AC0071"/>
    <w:rsid w:val="77C83101"/>
    <w:rsid w:val="794762A8"/>
    <w:rsid w:val="79DC1ADE"/>
    <w:rsid w:val="79FB2CE7"/>
    <w:rsid w:val="7C945CA8"/>
    <w:rsid w:val="7CA51C63"/>
    <w:rsid w:val="7DFB3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widowControl/>
      <w:ind w:firstLine="200"/>
      <w:textAlignment w:val="center"/>
    </w:pPr>
    <w:rPr>
      <w:kern w:val="0"/>
    </w:rPr>
  </w:style>
  <w:style w:type="paragraph" w:styleId="5">
    <w:name w:val="Plain Text"/>
    <w:basedOn w:val="1"/>
    <w:qFormat/>
    <w:uiPriority w:val="99"/>
    <w:pPr>
      <w:spacing w:line="360" w:lineRule="auto"/>
      <w:ind w:firstLine="480" w:firstLineChars="200"/>
    </w:pPr>
    <w:rPr>
      <w:rFonts w:ascii="仿宋_GB2312"/>
      <w:sz w:val="24"/>
    </w:rPr>
  </w:style>
  <w:style w:type="paragraph" w:styleId="6">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Subtitle"/>
    <w:basedOn w:val="1"/>
    <w:next w:val="1"/>
    <w:qFormat/>
    <w:uiPriority w:val="0"/>
    <w:pPr>
      <w:spacing w:before="240" w:after="60" w:line="312" w:lineRule="auto"/>
      <w:jc w:val="center"/>
      <w:outlineLvl w:val="1"/>
    </w:pPr>
    <w:rPr>
      <w:rFonts w:ascii="Calibri Light" w:hAnsi="Calibri Light"/>
      <w:b/>
      <w:bCs/>
      <w:kern w:val="28"/>
      <w:sz w:val="32"/>
      <w:szCs w:val="32"/>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0"/>
    <w:rPr>
      <w:i/>
    </w:rPr>
  </w:style>
  <w:style w:type="character" w:customStyle="1" w:styleId="14">
    <w:name w:val="页眉 字符"/>
    <w:basedOn w:val="12"/>
    <w:link w:val="7"/>
    <w:qFormat/>
    <w:uiPriority w:val="99"/>
    <w:rPr>
      <w:sz w:val="18"/>
      <w:szCs w:val="18"/>
    </w:rPr>
  </w:style>
  <w:style w:type="character" w:customStyle="1" w:styleId="15">
    <w:name w:val="页脚 字符"/>
    <w:basedOn w:val="12"/>
    <w:link w:val="6"/>
    <w:qFormat/>
    <w:uiPriority w:val="0"/>
    <w:rPr>
      <w:sz w:val="18"/>
      <w:szCs w:val="18"/>
    </w:rPr>
  </w:style>
  <w:style w:type="character" w:customStyle="1" w:styleId="16">
    <w:name w:val="标题 1 字符"/>
    <w:basedOn w:val="12"/>
    <w:link w:val="2"/>
    <w:qFormat/>
    <w:uiPriority w:val="0"/>
    <w:rPr>
      <w:rFonts w:ascii="Calibri" w:hAnsi="Calibri" w:eastAsia="宋体" w:cs="Times New Roman"/>
      <w:b/>
      <w:bCs/>
      <w:kern w:val="44"/>
      <w:sz w:val="44"/>
      <w:szCs w:val="44"/>
    </w:rPr>
  </w:style>
  <w:style w:type="paragraph" w:customStyle="1" w:styleId="17">
    <w:name w:val="_Style 8"/>
    <w:basedOn w:val="1"/>
    <w:next w:val="1"/>
    <w:qFormat/>
    <w:uiPriority w:val="0"/>
    <w:pPr>
      <w:spacing w:line="360" w:lineRule="auto"/>
      <w:ind w:firstLine="480" w:firstLineChars="200"/>
    </w:pPr>
    <w:rPr>
      <w:rFonts w:ascii="仿宋_GB2312"/>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2368</Words>
  <Characters>3209</Characters>
  <Lines>24</Lines>
  <Paragraphs>6</Paragraphs>
  <TotalTime>0</TotalTime>
  <ScaleCrop>false</ScaleCrop>
  <LinksUpToDate>false</LinksUpToDate>
  <CharactersWithSpaces>3289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2022-08-18T07:25:00Z</dcterms:created>
  <dc:creator>userName</dc:creator>
  <cp:lastModifiedBy>111</cp:lastModifiedBy>
  <dcterms:modified xsi:type="dcterms:W3CDTF">2024-12-14T02:18:51Z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97700A55540A490FB0371432A40561C9_12</vt:lpwstr>
  </property>
</Properties>
</file>