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74B07" w14:textId="77777777" w:rsidR="00E900AD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一、项目名称</w:t>
      </w:r>
    </w:p>
    <w:p w14:paraId="7FC5D667" w14:textId="77777777" w:rsidR="00E900AD" w:rsidRDefault="00000000">
      <w:pPr>
        <w:spacing w:line="560" w:lineRule="exact"/>
        <w:rPr>
          <w:rFonts w:ascii="仿宋_GB2312" w:eastAsia="仿宋_GB2312" w:hAnsi="宋体" w:hint="eastAsia"/>
          <w:b/>
          <w:bCs/>
          <w:sz w:val="24"/>
          <w:szCs w:val="24"/>
        </w:rPr>
      </w:pPr>
      <w:proofErr w:type="gramStart"/>
      <w:r>
        <w:rPr>
          <w:rFonts w:ascii="仿宋_GB2312" w:eastAsia="仿宋_GB2312" w:hAnsi="宋体" w:hint="eastAsia"/>
          <w:b/>
          <w:bCs/>
          <w:sz w:val="24"/>
          <w:szCs w:val="24"/>
        </w:rPr>
        <w:t>微藻资源化</w:t>
      </w:r>
      <w:proofErr w:type="gramEnd"/>
      <w:r>
        <w:rPr>
          <w:rFonts w:ascii="仿宋_GB2312" w:eastAsia="仿宋_GB2312" w:hAnsi="宋体" w:hint="eastAsia"/>
          <w:b/>
          <w:bCs/>
          <w:sz w:val="24"/>
          <w:szCs w:val="24"/>
        </w:rPr>
        <w:t>利用高氨氮废水及其采收基础技术理论研究</w:t>
      </w:r>
    </w:p>
    <w:p w14:paraId="7D80C050" w14:textId="77777777" w:rsidR="00E900AD" w:rsidRDefault="00E900AD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63D6F99B" w14:textId="77777777" w:rsidR="00E900AD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二、提名单位（或专家）、奖种与等级</w:t>
      </w:r>
    </w:p>
    <w:p w14:paraId="4FF4EA4F" w14:textId="77777777" w:rsidR="00E900AD" w:rsidRDefault="00000000">
      <w:pPr>
        <w:spacing w:line="560" w:lineRule="exact"/>
        <w:rPr>
          <w:rFonts w:ascii="仿宋_GB2312" w:eastAsia="仿宋_GB2312" w:hAnsi="宋体" w:hint="eastAsia"/>
          <w:b/>
          <w:bCs/>
          <w:sz w:val="24"/>
          <w:szCs w:val="24"/>
        </w:rPr>
      </w:pPr>
      <w:r>
        <w:rPr>
          <w:rFonts w:ascii="仿宋_GB2312" w:eastAsia="仿宋_GB2312" w:hAnsi="宋体" w:hint="eastAsia"/>
          <w:b/>
          <w:bCs/>
          <w:sz w:val="24"/>
          <w:szCs w:val="24"/>
        </w:rPr>
        <w:t xml:space="preserve">提名单为：江西省教育厅 </w:t>
      </w:r>
    </w:p>
    <w:p w14:paraId="37D78E06" w14:textId="77777777" w:rsidR="00E900AD" w:rsidRDefault="00000000">
      <w:pPr>
        <w:spacing w:line="560" w:lineRule="exact"/>
        <w:rPr>
          <w:rFonts w:ascii="仿宋_GB2312" w:eastAsia="仿宋_GB2312" w:hAnsi="宋体" w:hint="eastAsia"/>
          <w:b/>
          <w:bCs/>
          <w:sz w:val="24"/>
          <w:szCs w:val="24"/>
        </w:rPr>
      </w:pPr>
      <w:r>
        <w:rPr>
          <w:rFonts w:ascii="仿宋_GB2312" w:eastAsia="仿宋_GB2312" w:hAnsi="宋体" w:hint="eastAsia"/>
          <w:b/>
          <w:bCs/>
          <w:sz w:val="24"/>
          <w:szCs w:val="24"/>
        </w:rPr>
        <w:t>奖种与等级：江西省自然科学奖 一等奖</w:t>
      </w:r>
    </w:p>
    <w:p w14:paraId="736D1831" w14:textId="77777777" w:rsidR="00E900AD" w:rsidRDefault="00E900AD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645F34FE" w14:textId="77777777" w:rsidR="00E900AD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三、提名意见</w:t>
      </w:r>
    </w:p>
    <w:p w14:paraId="7984B82F" w14:textId="0B819A01" w:rsidR="00E900AD" w:rsidRDefault="00000000">
      <w:pPr>
        <w:ind w:firstLineChars="200" w:firstLine="480"/>
        <w:rPr>
          <w:rFonts w:ascii="仿宋_GB2312" w:eastAsia="仿宋_GB2312" w:hAnsi="宋体" w:hint="eastAsia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该研究成果在环境保护与可持续发展领域取得了显著突破，为相关领域的研究和应用提供了重要的科学依据和技术支撑。该成果依托国家自然科学基金项目，针对高氨氮废水处理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及微藻生物质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资源化利用难题，取得三大创新突破：创新采用真菌-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微藻分步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培养模式等技术提高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高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氨氮废水处理效率；提出低温培养等策略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提升微藻生物质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价值；研发真菌菌丝球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协同微藻采收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技术降低采收成本。该研究成果具有显著环境、经济和社会效益，为解决该领域难题做出重要贡献。</w:t>
      </w:r>
    </w:p>
    <w:p w14:paraId="0600879E" w14:textId="77777777" w:rsidR="00E900AD" w:rsidRDefault="00E900AD">
      <w:pPr>
        <w:rPr>
          <w:rFonts w:ascii="仿宋_GB2312" w:eastAsia="仿宋_GB2312" w:hAnsi="宋体" w:hint="eastAsia"/>
          <w:sz w:val="24"/>
          <w:szCs w:val="24"/>
        </w:rPr>
      </w:pPr>
    </w:p>
    <w:p w14:paraId="5975DCF5" w14:textId="77777777" w:rsidR="00E900AD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四、项目简介</w:t>
      </w:r>
    </w:p>
    <w:p w14:paraId="11BD1AF7" w14:textId="77777777" w:rsidR="00E900AD" w:rsidRDefault="00000000">
      <w:pPr>
        <w:ind w:firstLineChars="200" w:firstLine="480"/>
        <w:rPr>
          <w:rFonts w:ascii="仿宋_GB2312" w:eastAsia="仿宋_GB2312" w:hAnsi="宋体" w:hint="eastAsia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针对高氨氮废水处理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及微藻资源化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利用展开深入研究。在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微藻高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氨氮废水高效处理技术方面，创新采用真菌-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微藻分步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培养模式、氮磷比营养平衡结合氮丰度转换策略、沸石预处理技术，显著提升了氨氮及其他营养盐去除效率。同时，通过低温培养、营养平衡结合营养模式转换策略，分别成功制备出富含不饱和脂肪酸和高蛋白质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的微藻生物质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，实现了高氨氮废水的资源化利用，产出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高价值微藻生物质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产品。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在微藻高效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低成本采收技术方面，研发了真菌菌丝球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协同微藻采收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技术，优化采收条件，增强了沉降性能，降低了成本，提高了采收效率。本研究不仅为环境保护和可持续发展提供了新思路，还促进了</w:t>
      </w:r>
      <w:proofErr w:type="gramStart"/>
      <w:r>
        <w:rPr>
          <w:rFonts w:ascii="仿宋_GB2312" w:eastAsia="仿宋_GB2312" w:hAnsi="宋体" w:hint="eastAsia"/>
          <w:sz w:val="24"/>
          <w:szCs w:val="24"/>
        </w:rPr>
        <w:t>微藻产业</w:t>
      </w:r>
      <w:proofErr w:type="gramEnd"/>
      <w:r>
        <w:rPr>
          <w:rFonts w:ascii="仿宋_GB2312" w:eastAsia="仿宋_GB2312" w:hAnsi="宋体" w:hint="eastAsia"/>
          <w:sz w:val="24"/>
          <w:szCs w:val="24"/>
        </w:rPr>
        <w:t>的科技创新与产业升级，具有显著的环境、经济和社会效益。</w:t>
      </w:r>
    </w:p>
    <w:p w14:paraId="6854AD4A" w14:textId="77777777" w:rsidR="00E900AD" w:rsidRDefault="00E900AD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0C125735" w14:textId="77777777" w:rsidR="00E900AD" w:rsidRDefault="00E900AD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4F7D8AF5" w14:textId="77777777" w:rsidR="00E900AD" w:rsidRDefault="00000000">
      <w:pPr>
        <w:numPr>
          <w:ilvl w:val="0"/>
          <w:numId w:val="1"/>
        </w:num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/>
          <w:b/>
          <w:bCs/>
          <w:sz w:val="32"/>
          <w:szCs w:val="32"/>
        </w:rPr>
        <w:t>代表性科技成果</w:t>
      </w:r>
    </w:p>
    <w:tbl>
      <w:tblPr>
        <w:tblW w:w="10321" w:type="dxa"/>
        <w:tblInd w:w="-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2341"/>
        <w:gridCol w:w="1730"/>
        <w:gridCol w:w="1154"/>
        <w:gridCol w:w="770"/>
        <w:gridCol w:w="746"/>
        <w:gridCol w:w="738"/>
        <w:gridCol w:w="674"/>
        <w:gridCol w:w="665"/>
        <w:gridCol w:w="1090"/>
      </w:tblGrid>
      <w:tr w:rsidR="00E900AD" w14:paraId="34E9838F" w14:textId="77777777">
        <w:tc>
          <w:tcPr>
            <w:tcW w:w="413" w:type="dxa"/>
            <w:vAlign w:val="center"/>
          </w:tcPr>
          <w:p w14:paraId="399E4153" w14:textId="77777777" w:rsidR="00E900AD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2341" w:type="dxa"/>
            <w:vAlign w:val="center"/>
          </w:tcPr>
          <w:p w14:paraId="073CEBB7" w14:textId="77777777" w:rsidR="00E900AD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论文（专著）名称</w:t>
            </w:r>
            <w:r>
              <w:rPr>
                <w:rFonts w:ascii="Times New Roman" w:eastAsia="宋体" w:hAnsi="Times New Roman" w:cs="Times New Roman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szCs w:val="21"/>
              </w:rPr>
              <w:t>刊名</w:t>
            </w:r>
          </w:p>
        </w:tc>
        <w:tc>
          <w:tcPr>
            <w:tcW w:w="1730" w:type="dxa"/>
            <w:vAlign w:val="center"/>
          </w:tcPr>
          <w:p w14:paraId="472B87CC" w14:textId="77777777" w:rsidR="00E900AD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作者（按发</w:t>
            </w:r>
            <w:r>
              <w:rPr>
                <w:rFonts w:ascii="Times New Roman" w:eastAsia="宋体" w:hAnsi="Times New Roman" w:cs="Times New Roman"/>
                <w:spacing w:val="-20"/>
                <w:szCs w:val="21"/>
              </w:rPr>
              <w:t>表顺序）</w:t>
            </w:r>
          </w:p>
        </w:tc>
        <w:tc>
          <w:tcPr>
            <w:tcW w:w="1154" w:type="dxa"/>
            <w:vAlign w:val="center"/>
          </w:tcPr>
          <w:p w14:paraId="6C057F6A" w14:textId="77777777" w:rsidR="00E900AD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年卷页码（</w:t>
            </w:r>
            <w:r>
              <w:rPr>
                <w:rFonts w:ascii="Times New Roman" w:eastAsia="宋体" w:hAnsi="Times New Roman" w:cs="Times New Roman"/>
                <w:szCs w:val="21"/>
              </w:rPr>
              <w:t>××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>××</w:t>
            </w:r>
            <w:r>
              <w:rPr>
                <w:rFonts w:ascii="Times New Roman" w:eastAsia="宋体" w:hAnsi="Times New Roman" w:cs="Times New Roman"/>
                <w:szCs w:val="21"/>
              </w:rPr>
              <w:t>卷</w:t>
            </w:r>
            <w:r>
              <w:rPr>
                <w:rFonts w:ascii="Times New Roman" w:eastAsia="宋体" w:hAnsi="Times New Roman" w:cs="Times New Roman"/>
                <w:szCs w:val="21"/>
              </w:rPr>
              <w:t>××</w:t>
            </w:r>
            <w:r>
              <w:rPr>
                <w:rFonts w:ascii="Times New Roman" w:eastAsia="宋体" w:hAnsi="Times New Roman" w:cs="Times New Roman"/>
                <w:szCs w:val="21"/>
              </w:rPr>
              <w:t>页）</w:t>
            </w:r>
          </w:p>
        </w:tc>
        <w:tc>
          <w:tcPr>
            <w:tcW w:w="770" w:type="dxa"/>
            <w:vAlign w:val="center"/>
          </w:tcPr>
          <w:p w14:paraId="29F5EB56" w14:textId="77777777" w:rsidR="00E900AD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pacing w:val="-20"/>
                <w:szCs w:val="21"/>
              </w:rPr>
              <w:t>发表时间（年月日）</w:t>
            </w:r>
          </w:p>
        </w:tc>
        <w:tc>
          <w:tcPr>
            <w:tcW w:w="746" w:type="dxa"/>
            <w:vAlign w:val="center"/>
          </w:tcPr>
          <w:p w14:paraId="5A521663" w14:textId="77777777" w:rsidR="00E900AD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pacing w:val="-20"/>
                <w:szCs w:val="21"/>
              </w:rPr>
              <w:t>通讯作者</w:t>
            </w:r>
          </w:p>
        </w:tc>
        <w:tc>
          <w:tcPr>
            <w:tcW w:w="738" w:type="dxa"/>
            <w:vAlign w:val="center"/>
          </w:tcPr>
          <w:p w14:paraId="1A31AD22" w14:textId="77777777" w:rsidR="00E900AD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pacing w:val="-20"/>
                <w:szCs w:val="21"/>
              </w:rPr>
              <w:t>第一作者</w:t>
            </w:r>
          </w:p>
        </w:tc>
        <w:tc>
          <w:tcPr>
            <w:tcW w:w="674" w:type="dxa"/>
            <w:vAlign w:val="center"/>
          </w:tcPr>
          <w:p w14:paraId="7ECBAAAB" w14:textId="77777777" w:rsidR="00E900AD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他引总次数</w:t>
            </w:r>
            <w:proofErr w:type="gramEnd"/>
          </w:p>
        </w:tc>
        <w:tc>
          <w:tcPr>
            <w:tcW w:w="665" w:type="dxa"/>
            <w:vAlign w:val="center"/>
          </w:tcPr>
          <w:p w14:paraId="665F6099" w14:textId="77777777" w:rsidR="00E900AD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检索数据库</w:t>
            </w:r>
          </w:p>
        </w:tc>
        <w:tc>
          <w:tcPr>
            <w:tcW w:w="1090" w:type="dxa"/>
            <w:vAlign w:val="center"/>
          </w:tcPr>
          <w:p w14:paraId="7409BECC" w14:textId="77777777" w:rsidR="00E900AD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第一署名单位是否在赣单位</w:t>
            </w:r>
          </w:p>
        </w:tc>
      </w:tr>
      <w:tr w:rsidR="00E900AD" w14:paraId="04269336" w14:textId="77777777">
        <w:trPr>
          <w:trHeight w:val="1115"/>
        </w:trPr>
        <w:tc>
          <w:tcPr>
            <w:tcW w:w="413" w:type="dxa"/>
            <w:shd w:val="clear" w:color="auto" w:fill="auto"/>
          </w:tcPr>
          <w:p w14:paraId="6779BE92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2341" w:type="dxa"/>
            <w:shd w:val="clear" w:color="auto" w:fill="auto"/>
          </w:tcPr>
          <w:p w14:paraId="4490C513" w14:textId="77777777" w:rsidR="00E900AD" w:rsidRDefault="0000000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Enhancement of ammonium removal from landfill leachate using microalgae by an integrated strategy of </w:t>
            </w: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nutrient balance and trophic mode conversion/</w:t>
            </w:r>
            <w:r>
              <w:rPr>
                <w:rFonts w:ascii="Times New Roman" w:eastAsia="宋体" w:hAnsi="Times New Roman" w:cs="Times New Roman"/>
                <w:szCs w:val="21"/>
              </w:rPr>
              <w:t>通过营养平衡和营养模式转换的综合策略强化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微藻对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垃圾渗滤液中氨氮的去除</w:t>
            </w:r>
            <w:r>
              <w:rPr>
                <w:rFonts w:ascii="Times New Roman" w:eastAsia="宋体" w:hAnsi="Times New Roman" w:cs="Times New Roman"/>
                <w:szCs w:val="21"/>
              </w:rPr>
              <w:t>/Algal Research</w:t>
            </w:r>
          </w:p>
        </w:tc>
        <w:tc>
          <w:tcPr>
            <w:tcW w:w="1730" w:type="dxa"/>
            <w:shd w:val="clear" w:color="auto" w:fill="auto"/>
          </w:tcPr>
          <w:p w14:paraId="00E5422C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李晶晶，钱军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*</w:t>
            </w:r>
            <w:r>
              <w:rPr>
                <w:rFonts w:ascii="Times New Roman" w:eastAsia="宋体" w:hAnsi="Times New Roman" w:cs="Times New Roman"/>
                <w:szCs w:val="21"/>
              </w:rPr>
              <w:t>，汤俊航，金</w:t>
            </w: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泽宇，芦骞，陈佳丽，周香琴，张熙如，付思懿，万婷，李虎岗，陈钦，周文广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*</w:t>
            </w:r>
          </w:p>
        </w:tc>
        <w:tc>
          <w:tcPr>
            <w:tcW w:w="1154" w:type="dxa"/>
            <w:shd w:val="clear" w:color="auto" w:fill="auto"/>
          </w:tcPr>
          <w:p w14:paraId="76284468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2022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>61</w:t>
            </w:r>
            <w:r>
              <w:rPr>
                <w:rFonts w:ascii="Times New Roman" w:eastAsia="宋体" w:hAnsi="Times New Roman" w:cs="Times New Roman"/>
                <w:szCs w:val="21"/>
              </w:rPr>
              <w:t>卷</w:t>
            </w: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102572</w:t>
            </w:r>
            <w:r>
              <w:rPr>
                <w:rFonts w:ascii="Times New Roman" w:eastAsia="宋体" w:hAnsi="Times New Roman" w:cs="Times New Roman"/>
                <w:szCs w:val="21"/>
              </w:rPr>
              <w:t>页</w:t>
            </w:r>
          </w:p>
        </w:tc>
        <w:tc>
          <w:tcPr>
            <w:tcW w:w="770" w:type="dxa"/>
            <w:shd w:val="clear" w:color="auto" w:fill="auto"/>
          </w:tcPr>
          <w:p w14:paraId="01D5535B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202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-11-26</w:t>
            </w:r>
          </w:p>
        </w:tc>
        <w:tc>
          <w:tcPr>
            <w:tcW w:w="746" w:type="dxa"/>
            <w:shd w:val="clear" w:color="auto" w:fill="auto"/>
          </w:tcPr>
          <w:p w14:paraId="6FEB7597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钱军，</w:t>
            </w: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周文广</w:t>
            </w:r>
          </w:p>
        </w:tc>
        <w:tc>
          <w:tcPr>
            <w:tcW w:w="738" w:type="dxa"/>
            <w:shd w:val="clear" w:color="auto" w:fill="auto"/>
          </w:tcPr>
          <w:p w14:paraId="370B1027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李晶晶</w:t>
            </w:r>
          </w:p>
        </w:tc>
        <w:tc>
          <w:tcPr>
            <w:tcW w:w="674" w:type="dxa"/>
            <w:shd w:val="clear" w:color="auto" w:fill="auto"/>
          </w:tcPr>
          <w:p w14:paraId="3E77811C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12</w:t>
            </w:r>
          </w:p>
        </w:tc>
        <w:tc>
          <w:tcPr>
            <w:tcW w:w="665" w:type="dxa"/>
            <w:shd w:val="clear" w:color="auto" w:fill="auto"/>
          </w:tcPr>
          <w:p w14:paraId="09A0D9F4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SCI-E</w:t>
            </w:r>
          </w:p>
        </w:tc>
        <w:tc>
          <w:tcPr>
            <w:tcW w:w="1090" w:type="dxa"/>
            <w:shd w:val="clear" w:color="auto" w:fill="auto"/>
          </w:tcPr>
          <w:p w14:paraId="7AD623C1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是</w:t>
            </w:r>
          </w:p>
        </w:tc>
      </w:tr>
      <w:tr w:rsidR="00E900AD" w14:paraId="34DFA32D" w14:textId="77777777">
        <w:trPr>
          <w:trHeight w:val="1140"/>
        </w:trPr>
        <w:tc>
          <w:tcPr>
            <w:tcW w:w="413" w:type="dxa"/>
          </w:tcPr>
          <w:p w14:paraId="56EA27E7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2341" w:type="dxa"/>
          </w:tcPr>
          <w:p w14:paraId="7009A5FA" w14:textId="77777777" w:rsidR="00E900AD" w:rsidRDefault="0000000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A novel approach of using zeolite for ammonium toxicity mitigation and value-added Spirulina cultivation in wastewater/</w:t>
            </w:r>
            <w:r>
              <w:rPr>
                <w:rFonts w:ascii="Times New Roman" w:eastAsia="宋体" w:hAnsi="Times New Roman" w:cs="Times New Roman"/>
                <w:szCs w:val="21"/>
              </w:rPr>
              <w:t>一种利用沸石缓解氨毒性并实现废水中螺旋藻培养的新方法</w:t>
            </w:r>
            <w:r>
              <w:rPr>
                <w:rFonts w:ascii="Times New Roman" w:eastAsia="宋体" w:hAnsi="Times New Roman" w:cs="Times New Roman"/>
                <w:szCs w:val="21"/>
              </w:rPr>
              <w:t>/Bioresource Technology</w:t>
            </w:r>
          </w:p>
        </w:tc>
        <w:tc>
          <w:tcPr>
            <w:tcW w:w="1730" w:type="dxa"/>
          </w:tcPr>
          <w:p w14:paraId="3D315897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芦骞，韩佩，陈甫风，刘统贵，黎俊，冷立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健</w:t>
            </w:r>
            <w:r>
              <w:rPr>
                <w:rFonts w:ascii="Times New Roman" w:eastAsia="宋体" w:hAnsi="Times New Roman" w:cs="Times New Roman"/>
                <w:szCs w:val="21"/>
              </w:rPr>
              <w:t>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李晶晶，</w:t>
            </w:r>
            <w:r>
              <w:rPr>
                <w:rFonts w:ascii="Times New Roman" w:eastAsia="宋体" w:hAnsi="Times New Roman" w:cs="Times New Roman"/>
                <w:szCs w:val="21"/>
              </w:rPr>
              <w:t>周文广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*</w:t>
            </w:r>
          </w:p>
        </w:tc>
        <w:tc>
          <w:tcPr>
            <w:tcW w:w="1154" w:type="dxa"/>
          </w:tcPr>
          <w:p w14:paraId="29205A92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2019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>280</w:t>
            </w:r>
            <w:r>
              <w:rPr>
                <w:rFonts w:ascii="Times New Roman" w:eastAsia="宋体" w:hAnsi="Times New Roman" w:cs="Times New Roman"/>
                <w:szCs w:val="21"/>
              </w:rPr>
              <w:t>卷</w:t>
            </w:r>
            <w:r>
              <w:rPr>
                <w:rFonts w:ascii="Times New Roman" w:eastAsia="宋体" w:hAnsi="Times New Roman" w:cs="Times New Roman"/>
                <w:szCs w:val="21"/>
              </w:rPr>
              <w:t>127-135</w:t>
            </w:r>
            <w:r>
              <w:rPr>
                <w:rFonts w:ascii="Times New Roman" w:eastAsia="宋体" w:hAnsi="Times New Roman" w:cs="Times New Roman"/>
                <w:szCs w:val="21"/>
              </w:rPr>
              <w:t>页</w:t>
            </w:r>
          </w:p>
        </w:tc>
        <w:tc>
          <w:tcPr>
            <w:tcW w:w="770" w:type="dxa"/>
          </w:tcPr>
          <w:p w14:paraId="593F51FA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2019-02-10</w:t>
            </w:r>
          </w:p>
        </w:tc>
        <w:tc>
          <w:tcPr>
            <w:tcW w:w="746" w:type="dxa"/>
          </w:tcPr>
          <w:p w14:paraId="6D38D3D6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周文广</w:t>
            </w:r>
          </w:p>
        </w:tc>
        <w:tc>
          <w:tcPr>
            <w:tcW w:w="738" w:type="dxa"/>
          </w:tcPr>
          <w:p w14:paraId="3823A7C9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芦骞，韩佩</w:t>
            </w:r>
          </w:p>
        </w:tc>
        <w:tc>
          <w:tcPr>
            <w:tcW w:w="674" w:type="dxa"/>
          </w:tcPr>
          <w:p w14:paraId="4AE8AB5A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37</w:t>
            </w:r>
          </w:p>
        </w:tc>
        <w:tc>
          <w:tcPr>
            <w:tcW w:w="665" w:type="dxa"/>
          </w:tcPr>
          <w:p w14:paraId="5B0273A9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SCI-E</w:t>
            </w:r>
          </w:p>
        </w:tc>
        <w:tc>
          <w:tcPr>
            <w:tcW w:w="1090" w:type="dxa"/>
          </w:tcPr>
          <w:p w14:paraId="081BFDAE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是</w:t>
            </w:r>
          </w:p>
        </w:tc>
      </w:tr>
      <w:tr w:rsidR="00E900AD" w14:paraId="0121B292" w14:textId="77777777">
        <w:trPr>
          <w:trHeight w:val="1069"/>
        </w:trPr>
        <w:tc>
          <w:tcPr>
            <w:tcW w:w="413" w:type="dxa"/>
          </w:tcPr>
          <w:p w14:paraId="0283BA36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2341" w:type="dxa"/>
          </w:tcPr>
          <w:p w14:paraId="128B5A53" w14:textId="77777777" w:rsidR="00E900AD" w:rsidRDefault="0000000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Hydrothermal carbonization of microalgae-fungal pellets: removal of nutrients from the aqueous phase fungi and microalgae cultivation/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微藻</w:t>
            </w:r>
            <w:r>
              <w:rPr>
                <w:rFonts w:ascii="Times New Roman" w:eastAsia="宋体" w:hAnsi="Times New Roman" w:cs="Times New Roman"/>
                <w:szCs w:val="21"/>
              </w:rPr>
              <w:t>-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真菌球的水热碳化：水相中营养物质的去除、真菌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和微藻的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培养</w:t>
            </w:r>
            <w:r>
              <w:rPr>
                <w:rFonts w:ascii="Times New Roman" w:eastAsia="宋体" w:hAnsi="Times New Roman" w:cs="Times New Roman"/>
                <w:szCs w:val="21"/>
              </w:rPr>
              <w:t>/ACS Sustainable Chemistry &amp; Engineering</w:t>
            </w:r>
          </w:p>
        </w:tc>
        <w:tc>
          <w:tcPr>
            <w:tcW w:w="1730" w:type="dxa"/>
          </w:tcPr>
          <w:p w14:paraId="0714D82F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陈杰，丁丽莎，刘人凤，徐思雨，李璐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驿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，高李维，魏良，冷松起，黎俊，李晶晶，冷立健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*</w:t>
            </w:r>
            <w:r>
              <w:rPr>
                <w:rFonts w:ascii="Times New Roman" w:eastAsia="宋体" w:hAnsi="Times New Roman" w:cs="Times New Roman"/>
                <w:szCs w:val="21"/>
              </w:rPr>
              <w:t>，周文广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*</w:t>
            </w:r>
          </w:p>
        </w:tc>
        <w:tc>
          <w:tcPr>
            <w:tcW w:w="1154" w:type="dxa"/>
          </w:tcPr>
          <w:p w14:paraId="45B625C4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szCs w:val="21"/>
              </w:rPr>
              <w:t>卷</w:t>
            </w:r>
            <w:r>
              <w:rPr>
                <w:rFonts w:ascii="Times New Roman" w:eastAsia="宋体" w:hAnsi="Times New Roman" w:cs="Times New Roman"/>
                <w:szCs w:val="21"/>
              </w:rPr>
              <w:t>16823-16832</w:t>
            </w:r>
            <w:r>
              <w:rPr>
                <w:rFonts w:ascii="Times New Roman" w:eastAsia="宋体" w:hAnsi="Times New Roman" w:cs="Times New Roman"/>
                <w:szCs w:val="21"/>
              </w:rPr>
              <w:t>页</w:t>
            </w:r>
          </w:p>
        </w:tc>
        <w:tc>
          <w:tcPr>
            <w:tcW w:w="770" w:type="dxa"/>
          </w:tcPr>
          <w:p w14:paraId="77D3ADDC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2020-11-2</w:t>
            </w:r>
          </w:p>
        </w:tc>
        <w:tc>
          <w:tcPr>
            <w:tcW w:w="746" w:type="dxa"/>
          </w:tcPr>
          <w:p w14:paraId="0EC1D313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冷立健，周文广</w:t>
            </w:r>
          </w:p>
        </w:tc>
        <w:tc>
          <w:tcPr>
            <w:tcW w:w="738" w:type="dxa"/>
          </w:tcPr>
          <w:p w14:paraId="3CCB4703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陈杰</w:t>
            </w:r>
          </w:p>
        </w:tc>
        <w:tc>
          <w:tcPr>
            <w:tcW w:w="674" w:type="dxa"/>
          </w:tcPr>
          <w:p w14:paraId="5D700006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23</w:t>
            </w:r>
          </w:p>
        </w:tc>
        <w:tc>
          <w:tcPr>
            <w:tcW w:w="665" w:type="dxa"/>
          </w:tcPr>
          <w:p w14:paraId="2CBDE064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SCI-E</w:t>
            </w:r>
          </w:p>
        </w:tc>
        <w:tc>
          <w:tcPr>
            <w:tcW w:w="1090" w:type="dxa"/>
          </w:tcPr>
          <w:p w14:paraId="0B56199F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是</w:t>
            </w:r>
          </w:p>
        </w:tc>
      </w:tr>
      <w:tr w:rsidR="00E900AD" w14:paraId="23B1681F" w14:textId="77777777">
        <w:trPr>
          <w:trHeight w:val="1069"/>
        </w:trPr>
        <w:tc>
          <w:tcPr>
            <w:tcW w:w="413" w:type="dxa"/>
            <w:shd w:val="clear" w:color="auto" w:fill="auto"/>
          </w:tcPr>
          <w:p w14:paraId="0843A882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2341" w:type="dxa"/>
            <w:shd w:val="clear" w:color="auto" w:fill="auto"/>
          </w:tcPr>
          <w:p w14:paraId="6A58F3F5" w14:textId="77777777" w:rsidR="00E900AD" w:rsidRDefault="0000000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 xml:space="preserve">Exploration of a mechanism for the production of highly unsaturated fatty acids in 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Cs w:val="21"/>
                <w:lang w:bidi="ar"/>
              </w:rPr>
              <w:t>Scenedesmus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 xml:space="preserve"> sp. at low temperature grown on oil crop residue based medium/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探究利用油料作物残渣培养基在低温条件下生产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Cs w:val="21"/>
                <w:lang w:bidi="ar"/>
              </w:rPr>
              <w:t>Scenedesmus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 xml:space="preserve"> sp.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高不饱和脂肪酸的机制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/Bioresource Technology</w:t>
            </w:r>
          </w:p>
        </w:tc>
        <w:tc>
          <w:tcPr>
            <w:tcW w:w="1730" w:type="dxa"/>
            <w:shd w:val="clear" w:color="auto" w:fill="auto"/>
          </w:tcPr>
          <w:p w14:paraId="11018E1B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芦骞，黎俊，王菁晗，李昆，李晶晶，韩佩，陈灵，周文广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*</w:t>
            </w:r>
          </w:p>
        </w:tc>
        <w:tc>
          <w:tcPr>
            <w:tcW w:w="1154" w:type="dxa"/>
            <w:shd w:val="clear" w:color="auto" w:fill="auto"/>
          </w:tcPr>
          <w:p w14:paraId="03107A7B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2017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244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卷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542-551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页</w:t>
            </w:r>
          </w:p>
        </w:tc>
        <w:tc>
          <w:tcPr>
            <w:tcW w:w="770" w:type="dxa"/>
            <w:shd w:val="clear" w:color="auto" w:fill="auto"/>
          </w:tcPr>
          <w:p w14:paraId="6FD802E3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2017-08-04</w:t>
            </w:r>
          </w:p>
        </w:tc>
        <w:tc>
          <w:tcPr>
            <w:tcW w:w="746" w:type="dxa"/>
            <w:shd w:val="clear" w:color="auto" w:fill="auto"/>
          </w:tcPr>
          <w:p w14:paraId="659F2F0A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周文广</w:t>
            </w:r>
          </w:p>
        </w:tc>
        <w:tc>
          <w:tcPr>
            <w:tcW w:w="738" w:type="dxa"/>
            <w:shd w:val="clear" w:color="auto" w:fill="auto"/>
          </w:tcPr>
          <w:p w14:paraId="5299B03E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芦骞，黎俊</w:t>
            </w:r>
          </w:p>
        </w:tc>
        <w:tc>
          <w:tcPr>
            <w:tcW w:w="674" w:type="dxa"/>
            <w:shd w:val="clear" w:color="auto" w:fill="auto"/>
          </w:tcPr>
          <w:p w14:paraId="11DB271D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19</w:t>
            </w:r>
          </w:p>
        </w:tc>
        <w:tc>
          <w:tcPr>
            <w:tcW w:w="665" w:type="dxa"/>
            <w:shd w:val="clear" w:color="auto" w:fill="auto"/>
          </w:tcPr>
          <w:p w14:paraId="5A6D96B1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SCI-E</w:t>
            </w:r>
          </w:p>
        </w:tc>
        <w:tc>
          <w:tcPr>
            <w:tcW w:w="1090" w:type="dxa"/>
            <w:shd w:val="clear" w:color="auto" w:fill="auto"/>
          </w:tcPr>
          <w:p w14:paraId="07767AAB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是</w:t>
            </w:r>
          </w:p>
        </w:tc>
      </w:tr>
      <w:tr w:rsidR="00E900AD" w14:paraId="4077CF74" w14:textId="77777777">
        <w:trPr>
          <w:trHeight w:val="1069"/>
        </w:trPr>
        <w:tc>
          <w:tcPr>
            <w:tcW w:w="413" w:type="dxa"/>
            <w:shd w:val="clear" w:color="auto" w:fill="auto"/>
          </w:tcPr>
          <w:p w14:paraId="40C2E7DB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2341" w:type="dxa"/>
            <w:shd w:val="clear" w:color="auto" w:fill="auto"/>
          </w:tcPr>
          <w:p w14:paraId="6642AF1B" w14:textId="77777777" w:rsidR="00E900AD" w:rsidRDefault="0000000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 xml:space="preserve">A comparative study between fungal pellet- and spore-assisted microalgae harvesting methods for algae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bioflocculation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/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真菌菌丝球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/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孢子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辅助微藻采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收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技术在藻类生物絮凝中的比较研究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/Bioresource Technology</w:t>
            </w:r>
          </w:p>
        </w:tc>
        <w:tc>
          <w:tcPr>
            <w:tcW w:w="1730" w:type="dxa"/>
            <w:shd w:val="clear" w:color="auto" w:fill="auto"/>
          </w:tcPr>
          <w:p w14:paraId="68BC1626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陈杰，冷立健，叶晨松，芦骞，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Min Addy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，王菁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晗，刘进，陈灵，阮榕生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*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，周文广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*</w:t>
            </w:r>
          </w:p>
        </w:tc>
        <w:tc>
          <w:tcPr>
            <w:tcW w:w="1154" w:type="dxa"/>
            <w:shd w:val="clear" w:color="auto" w:fill="auto"/>
          </w:tcPr>
          <w:p w14:paraId="02660602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2018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259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卷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181-190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页</w:t>
            </w:r>
          </w:p>
        </w:tc>
        <w:tc>
          <w:tcPr>
            <w:tcW w:w="770" w:type="dxa"/>
            <w:shd w:val="clear" w:color="auto" w:fill="auto"/>
          </w:tcPr>
          <w:p w14:paraId="670A01E4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2018-03-10</w:t>
            </w:r>
          </w:p>
        </w:tc>
        <w:tc>
          <w:tcPr>
            <w:tcW w:w="746" w:type="dxa"/>
            <w:shd w:val="clear" w:color="auto" w:fill="auto"/>
          </w:tcPr>
          <w:p w14:paraId="41350C79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阮榕生，周文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广，</w:t>
            </w:r>
          </w:p>
        </w:tc>
        <w:tc>
          <w:tcPr>
            <w:tcW w:w="738" w:type="dxa"/>
            <w:shd w:val="clear" w:color="auto" w:fill="auto"/>
          </w:tcPr>
          <w:p w14:paraId="4D12035B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陈杰，冷立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健</w:t>
            </w:r>
          </w:p>
        </w:tc>
        <w:tc>
          <w:tcPr>
            <w:tcW w:w="674" w:type="dxa"/>
            <w:shd w:val="clear" w:color="auto" w:fill="auto"/>
          </w:tcPr>
          <w:p w14:paraId="6E7D6860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92</w:t>
            </w:r>
          </w:p>
        </w:tc>
        <w:tc>
          <w:tcPr>
            <w:tcW w:w="665" w:type="dxa"/>
            <w:shd w:val="clear" w:color="auto" w:fill="auto"/>
          </w:tcPr>
          <w:p w14:paraId="51E2C640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SCI-E</w:t>
            </w:r>
          </w:p>
        </w:tc>
        <w:tc>
          <w:tcPr>
            <w:tcW w:w="1090" w:type="dxa"/>
            <w:shd w:val="clear" w:color="auto" w:fill="auto"/>
          </w:tcPr>
          <w:p w14:paraId="7334B64F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是</w:t>
            </w:r>
          </w:p>
        </w:tc>
      </w:tr>
      <w:tr w:rsidR="00E900AD" w14:paraId="170158B7" w14:textId="77777777">
        <w:trPr>
          <w:trHeight w:val="479"/>
        </w:trPr>
        <w:tc>
          <w:tcPr>
            <w:tcW w:w="7892" w:type="dxa"/>
            <w:gridSpan w:val="7"/>
            <w:vAlign w:val="center"/>
          </w:tcPr>
          <w:p w14:paraId="04CC3B4C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他引总次数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合计</w:t>
            </w:r>
          </w:p>
        </w:tc>
        <w:tc>
          <w:tcPr>
            <w:tcW w:w="2429" w:type="dxa"/>
            <w:gridSpan w:val="3"/>
            <w:vAlign w:val="center"/>
          </w:tcPr>
          <w:p w14:paraId="2A0B8530" w14:textId="77777777" w:rsidR="00E900AD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183</w:t>
            </w:r>
          </w:p>
        </w:tc>
      </w:tr>
    </w:tbl>
    <w:p w14:paraId="0451E5A2" w14:textId="77777777" w:rsidR="00E900AD" w:rsidRDefault="00E900AD">
      <w:pPr>
        <w:spacing w:line="560" w:lineRule="exact"/>
        <w:rPr>
          <w:rFonts w:ascii="Times New Roman" w:eastAsia="仿宋_GB2312" w:hAnsi="Times New Roman" w:cs="Times New Roman"/>
          <w:sz w:val="24"/>
          <w:szCs w:val="24"/>
        </w:rPr>
      </w:pPr>
    </w:p>
    <w:p w14:paraId="53AE52D7" w14:textId="77777777" w:rsidR="00E900AD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六、完成人</w:t>
      </w:r>
    </w:p>
    <w:p w14:paraId="7E4CE9CA" w14:textId="77777777" w:rsidR="00E900AD" w:rsidRDefault="00000000">
      <w:pPr>
        <w:spacing w:line="560" w:lineRule="exact"/>
        <w:jc w:val="center"/>
        <w:rPr>
          <w:rFonts w:ascii="仿宋_GB2312" w:eastAsia="仿宋_GB2312" w:hAnsi="宋体" w:hint="eastAsia"/>
          <w:b/>
          <w:bCs/>
          <w:sz w:val="24"/>
          <w:szCs w:val="24"/>
        </w:rPr>
      </w:pPr>
      <w:r>
        <w:rPr>
          <w:rFonts w:ascii="Times New Roman" w:eastAsia="黑体" w:hAnsi="Times New Roman" w:cs="Times New Roman" w:hint="eastAsia"/>
          <w:bCs/>
          <w:sz w:val="24"/>
          <w:szCs w:val="24"/>
        </w:rPr>
        <w:t>完成人情况及贡献</w:t>
      </w:r>
    </w:p>
    <w:tbl>
      <w:tblPr>
        <w:tblW w:w="92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885"/>
        <w:gridCol w:w="885"/>
        <w:gridCol w:w="885"/>
        <w:gridCol w:w="1062"/>
        <w:gridCol w:w="1059"/>
        <w:gridCol w:w="3933"/>
      </w:tblGrid>
      <w:tr w:rsidR="00E900AD" w14:paraId="50C9F22C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5D8CD833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排名</w:t>
            </w:r>
          </w:p>
        </w:tc>
        <w:tc>
          <w:tcPr>
            <w:tcW w:w="885" w:type="dxa"/>
            <w:vAlign w:val="center"/>
          </w:tcPr>
          <w:p w14:paraId="7F4EF3D1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姓名</w:t>
            </w:r>
          </w:p>
        </w:tc>
        <w:tc>
          <w:tcPr>
            <w:tcW w:w="885" w:type="dxa"/>
            <w:vAlign w:val="center"/>
          </w:tcPr>
          <w:p w14:paraId="12EC8A38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职务</w:t>
            </w:r>
          </w:p>
        </w:tc>
        <w:tc>
          <w:tcPr>
            <w:tcW w:w="885" w:type="dxa"/>
            <w:vAlign w:val="center"/>
          </w:tcPr>
          <w:p w14:paraId="177F5266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职称</w:t>
            </w:r>
          </w:p>
        </w:tc>
        <w:tc>
          <w:tcPr>
            <w:tcW w:w="1062" w:type="dxa"/>
            <w:vAlign w:val="center"/>
          </w:tcPr>
          <w:p w14:paraId="0A88D48C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工作单位</w:t>
            </w:r>
          </w:p>
        </w:tc>
        <w:tc>
          <w:tcPr>
            <w:tcW w:w="1059" w:type="dxa"/>
            <w:vAlign w:val="center"/>
          </w:tcPr>
          <w:p w14:paraId="3E4EA8E5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完成单位</w:t>
            </w:r>
          </w:p>
        </w:tc>
        <w:tc>
          <w:tcPr>
            <w:tcW w:w="3933" w:type="dxa"/>
            <w:vAlign w:val="center"/>
          </w:tcPr>
          <w:p w14:paraId="6AB22F35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对本项目的贡献</w:t>
            </w:r>
          </w:p>
        </w:tc>
      </w:tr>
      <w:tr w:rsidR="00E900AD" w14:paraId="7F035D9C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6E5C6DBB" w14:textId="77777777" w:rsidR="00E900AD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1</w:t>
            </w:r>
          </w:p>
        </w:tc>
        <w:tc>
          <w:tcPr>
            <w:tcW w:w="885" w:type="dxa"/>
            <w:vAlign w:val="center"/>
          </w:tcPr>
          <w:p w14:paraId="6AEA806A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周文广</w:t>
            </w:r>
          </w:p>
        </w:tc>
        <w:tc>
          <w:tcPr>
            <w:tcW w:w="885" w:type="dxa"/>
            <w:vAlign w:val="center"/>
          </w:tcPr>
          <w:p w14:paraId="414D487C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南昌大学鄱阳湖环境与资源利用教育部重点实验室执行主任</w:t>
            </w:r>
          </w:p>
        </w:tc>
        <w:tc>
          <w:tcPr>
            <w:tcW w:w="885" w:type="dxa"/>
            <w:vAlign w:val="center"/>
          </w:tcPr>
          <w:p w14:paraId="4CE29F21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研究员</w:t>
            </w:r>
          </w:p>
        </w:tc>
        <w:tc>
          <w:tcPr>
            <w:tcW w:w="1062" w:type="dxa"/>
            <w:vAlign w:val="center"/>
          </w:tcPr>
          <w:p w14:paraId="2CFF85EA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1059" w:type="dxa"/>
            <w:vAlign w:val="center"/>
          </w:tcPr>
          <w:p w14:paraId="61C11C13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3933" w:type="dxa"/>
            <w:vAlign w:val="center"/>
          </w:tcPr>
          <w:p w14:paraId="485EFC56" w14:textId="77777777" w:rsidR="00E900AD" w:rsidRDefault="00000000">
            <w:pPr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项目总体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成果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方案设计负责人，主导核心关键技术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理论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攻关。对创新点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做出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重要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贡献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，创建了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微藻高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氨氮废水高效处理技术微与高效低成本采收技术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 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，研发了高效制备富含脂质和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高蛋白微藻生物质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；对本项成果的基础技术理论做出了重要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贡献。</w:t>
            </w:r>
          </w:p>
        </w:tc>
      </w:tr>
      <w:tr w:rsidR="00E900AD" w14:paraId="28C215FA" w14:textId="77777777">
        <w:trPr>
          <w:trHeight w:val="20"/>
          <w:jc w:val="center"/>
        </w:trPr>
        <w:tc>
          <w:tcPr>
            <w:tcW w:w="503" w:type="dxa"/>
            <w:vAlign w:val="center"/>
          </w:tcPr>
          <w:p w14:paraId="3F2B18DE" w14:textId="77777777" w:rsidR="00E900AD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2</w:t>
            </w:r>
          </w:p>
        </w:tc>
        <w:tc>
          <w:tcPr>
            <w:tcW w:w="885" w:type="dxa"/>
            <w:vAlign w:val="center"/>
          </w:tcPr>
          <w:p w14:paraId="7365C567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钱军</w:t>
            </w:r>
          </w:p>
        </w:tc>
        <w:tc>
          <w:tcPr>
            <w:tcW w:w="885" w:type="dxa"/>
            <w:vAlign w:val="center"/>
          </w:tcPr>
          <w:p w14:paraId="2252E892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61B0EF18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研究员</w:t>
            </w:r>
          </w:p>
        </w:tc>
        <w:tc>
          <w:tcPr>
            <w:tcW w:w="1062" w:type="dxa"/>
            <w:vAlign w:val="center"/>
          </w:tcPr>
          <w:p w14:paraId="5BD1658D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1059" w:type="dxa"/>
            <w:vAlign w:val="center"/>
          </w:tcPr>
          <w:p w14:paraId="0B31B967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3933" w:type="dxa"/>
            <w:vAlign w:val="center"/>
          </w:tcPr>
          <w:p w14:paraId="0DA25C78" w14:textId="77777777" w:rsidR="00E900AD" w:rsidRDefault="00000000">
            <w:pPr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创建了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微藻高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氨氮废水高效处理技术，研发了营养平衡结合营养模式转换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强化微藻去除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氨氮策略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研发了高效制备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高蛋白微藻生物质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，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对创新点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做出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重要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贡献。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对本项成果的基础技术理论做出了重要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贡献。</w:t>
            </w:r>
          </w:p>
        </w:tc>
      </w:tr>
      <w:tr w:rsidR="00E900AD" w14:paraId="7589F07D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38D1DC01" w14:textId="77777777" w:rsidR="00E900AD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3</w:t>
            </w:r>
          </w:p>
        </w:tc>
        <w:tc>
          <w:tcPr>
            <w:tcW w:w="885" w:type="dxa"/>
            <w:vAlign w:val="center"/>
          </w:tcPr>
          <w:p w14:paraId="65F1F771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bookmarkStart w:id="0" w:name="_Hlk180838667"/>
            <w:bookmarkEnd w:id="0"/>
            <w:r>
              <w:rPr>
                <w:rFonts w:ascii="Times New Roman" w:eastAsia="仿宋_GB2312" w:hAnsi="Times New Roman" w:cs="Times New Roman" w:hint="eastAsia"/>
              </w:rPr>
              <w:t>李晶晶</w:t>
            </w:r>
          </w:p>
        </w:tc>
        <w:tc>
          <w:tcPr>
            <w:tcW w:w="885" w:type="dxa"/>
            <w:vAlign w:val="center"/>
          </w:tcPr>
          <w:p w14:paraId="0EAE852B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5837714D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助理研究员</w:t>
            </w:r>
          </w:p>
        </w:tc>
        <w:tc>
          <w:tcPr>
            <w:tcW w:w="1062" w:type="dxa"/>
            <w:vAlign w:val="center"/>
          </w:tcPr>
          <w:p w14:paraId="62027707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南昌大学</w:t>
            </w:r>
          </w:p>
        </w:tc>
        <w:tc>
          <w:tcPr>
            <w:tcW w:w="1059" w:type="dxa"/>
            <w:vAlign w:val="center"/>
          </w:tcPr>
          <w:p w14:paraId="139D4281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南昌大学</w:t>
            </w:r>
          </w:p>
        </w:tc>
        <w:tc>
          <w:tcPr>
            <w:tcW w:w="3933" w:type="dxa"/>
            <w:vAlign w:val="center"/>
          </w:tcPr>
          <w:p w14:paraId="130D051D" w14:textId="77777777" w:rsidR="00E900AD" w:rsidRDefault="00000000">
            <w:pPr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参与创建了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微藻高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氨氮废水高效处理技术，研发了营养平衡结合营养模式转换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强化微藻去除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氨氮策略，对创新点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做出重要贡献。对本项成果的基础技术理论做出了重要贡献。</w:t>
            </w:r>
          </w:p>
        </w:tc>
      </w:tr>
      <w:tr w:rsidR="00E900AD" w14:paraId="17137F56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47DBEC23" w14:textId="77777777" w:rsidR="00E900AD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4</w:t>
            </w:r>
          </w:p>
        </w:tc>
        <w:tc>
          <w:tcPr>
            <w:tcW w:w="885" w:type="dxa"/>
            <w:vAlign w:val="center"/>
          </w:tcPr>
          <w:p w14:paraId="5AFED6F3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韩佩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89191E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0F9582DF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助理研究员</w:t>
            </w:r>
          </w:p>
        </w:tc>
        <w:tc>
          <w:tcPr>
            <w:tcW w:w="1062" w:type="dxa"/>
            <w:vAlign w:val="center"/>
          </w:tcPr>
          <w:p w14:paraId="75CA58EF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江西省科学院能源研究所</w:t>
            </w:r>
          </w:p>
        </w:tc>
        <w:tc>
          <w:tcPr>
            <w:tcW w:w="1059" w:type="dxa"/>
            <w:vAlign w:val="center"/>
          </w:tcPr>
          <w:p w14:paraId="6EC2C44E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3933" w:type="dxa"/>
            <w:vAlign w:val="center"/>
          </w:tcPr>
          <w:p w14:paraId="40F1CB5D" w14:textId="77777777" w:rsidR="00E900AD" w:rsidRDefault="00000000">
            <w:pPr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参与创建了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微藻高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氨氮废水高效处理技术，创建了沸石预处理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微藻高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氨氮废水技术，对创新点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做出重要贡献。对本项成果的基础技术理论做出了重要贡献。</w:t>
            </w:r>
          </w:p>
        </w:tc>
      </w:tr>
      <w:tr w:rsidR="00E900AD" w14:paraId="00F8EE14" w14:textId="77777777">
        <w:trPr>
          <w:trHeight w:val="690"/>
          <w:jc w:val="center"/>
        </w:trPr>
        <w:tc>
          <w:tcPr>
            <w:tcW w:w="503" w:type="dxa"/>
            <w:vAlign w:val="center"/>
          </w:tcPr>
          <w:p w14:paraId="6208C3D5" w14:textId="77777777" w:rsidR="00E900AD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5</w:t>
            </w:r>
          </w:p>
        </w:tc>
        <w:tc>
          <w:tcPr>
            <w:tcW w:w="885" w:type="dxa"/>
            <w:vAlign w:val="center"/>
          </w:tcPr>
          <w:p w14:paraId="054DA80F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黎俊</w:t>
            </w:r>
          </w:p>
        </w:tc>
        <w:tc>
          <w:tcPr>
            <w:tcW w:w="885" w:type="dxa"/>
            <w:vAlign w:val="center"/>
          </w:tcPr>
          <w:p w14:paraId="0F350D96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资源科学与工程系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系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副主任</w:t>
            </w:r>
          </w:p>
        </w:tc>
        <w:tc>
          <w:tcPr>
            <w:tcW w:w="885" w:type="dxa"/>
            <w:vAlign w:val="center"/>
          </w:tcPr>
          <w:p w14:paraId="0156E792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实验师</w:t>
            </w:r>
          </w:p>
        </w:tc>
        <w:tc>
          <w:tcPr>
            <w:tcW w:w="1062" w:type="dxa"/>
            <w:vAlign w:val="center"/>
          </w:tcPr>
          <w:p w14:paraId="7DFE88BA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1059" w:type="dxa"/>
            <w:vAlign w:val="center"/>
          </w:tcPr>
          <w:p w14:paraId="28D04CB9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3933" w:type="dxa"/>
            <w:vAlign w:val="center"/>
          </w:tcPr>
          <w:p w14:paraId="5A1C0BAE" w14:textId="77777777" w:rsidR="00E900AD" w:rsidRDefault="00000000">
            <w:pPr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参与创建了沸石预处理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微藻高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氨氮废水技术，研发了高效制备富含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脂质微藻生物质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，对创新点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做出重要贡献。对本项成果的基础技术理论做出了重要贡献。</w:t>
            </w:r>
          </w:p>
        </w:tc>
      </w:tr>
    </w:tbl>
    <w:p w14:paraId="4EF2F5C3" w14:textId="77777777" w:rsidR="00E900AD" w:rsidRDefault="00E900AD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3F1898F0" w14:textId="77777777" w:rsidR="00E900AD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lastRenderedPageBreak/>
        <w:t>七、完成单位</w:t>
      </w:r>
    </w:p>
    <w:p w14:paraId="5C80379A" w14:textId="77777777" w:rsidR="00E900AD" w:rsidRDefault="00000000">
      <w:pPr>
        <w:spacing w:line="560" w:lineRule="exact"/>
        <w:jc w:val="center"/>
        <w:rPr>
          <w:rFonts w:ascii="仿宋_GB2312" w:eastAsia="仿宋_GB2312" w:hAnsi="宋体" w:hint="eastAsia"/>
          <w:b/>
          <w:bCs/>
          <w:sz w:val="24"/>
          <w:szCs w:val="24"/>
        </w:rPr>
      </w:pPr>
      <w:r>
        <w:rPr>
          <w:rFonts w:ascii="Times New Roman" w:eastAsia="黑体" w:hAnsi="Times New Roman" w:cs="Times New Roman" w:hint="eastAsia"/>
          <w:bCs/>
          <w:sz w:val="24"/>
          <w:szCs w:val="24"/>
        </w:rPr>
        <w:t>完成单位情况及贡献</w:t>
      </w:r>
    </w:p>
    <w:tbl>
      <w:tblPr>
        <w:tblW w:w="920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853"/>
        <w:gridCol w:w="6554"/>
      </w:tblGrid>
      <w:tr w:rsidR="00E900AD" w14:paraId="2A35B223" w14:textId="77777777">
        <w:trPr>
          <w:trHeight w:val="477"/>
          <w:jc w:val="center"/>
        </w:trPr>
        <w:tc>
          <w:tcPr>
            <w:tcW w:w="797" w:type="dxa"/>
            <w:vAlign w:val="center"/>
          </w:tcPr>
          <w:p w14:paraId="726044DB" w14:textId="77777777" w:rsidR="00E900AD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排名</w:t>
            </w:r>
          </w:p>
        </w:tc>
        <w:tc>
          <w:tcPr>
            <w:tcW w:w="1853" w:type="dxa"/>
            <w:vAlign w:val="center"/>
          </w:tcPr>
          <w:p w14:paraId="723E726D" w14:textId="77777777" w:rsidR="00E900AD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单位名称</w:t>
            </w:r>
          </w:p>
        </w:tc>
        <w:tc>
          <w:tcPr>
            <w:tcW w:w="6554" w:type="dxa"/>
            <w:vAlign w:val="center"/>
          </w:tcPr>
          <w:p w14:paraId="60B8BCF3" w14:textId="77777777" w:rsidR="00E900AD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对本项目的贡献</w:t>
            </w:r>
          </w:p>
        </w:tc>
      </w:tr>
      <w:tr w:rsidR="00E900AD" w14:paraId="4708FAB7" w14:textId="77777777">
        <w:trPr>
          <w:trHeight w:val="45"/>
          <w:jc w:val="center"/>
        </w:trPr>
        <w:tc>
          <w:tcPr>
            <w:tcW w:w="797" w:type="dxa"/>
            <w:vAlign w:val="center"/>
          </w:tcPr>
          <w:p w14:paraId="68FFA5DB" w14:textId="77777777" w:rsidR="00E900AD" w:rsidRDefault="00000000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1</w:t>
            </w:r>
          </w:p>
        </w:tc>
        <w:tc>
          <w:tcPr>
            <w:tcW w:w="1853" w:type="dxa"/>
            <w:vAlign w:val="center"/>
          </w:tcPr>
          <w:p w14:paraId="328AA4CA" w14:textId="77777777" w:rsidR="00E900AD" w:rsidRDefault="00000000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6554" w:type="dxa"/>
          </w:tcPr>
          <w:p w14:paraId="0BE0B83F" w14:textId="77777777" w:rsidR="00E900AD" w:rsidRDefault="00000000">
            <w:pPr>
              <w:overflowPunct w:val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作为项目第一完成单位，负责本项目的总体技术路线设计，主导项目核心关键技术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理论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攻关，对创新点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做出重要贡献；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创建了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微藻高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氨氮废水高效处理技术微与高效低成本采收技术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 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，研发了高效制备富含脂质和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高蛋白微藻生物质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；在项目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设计、技术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研制、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机理探索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过程中提供了技术、设备和人员等条件，对项目的完成起到了组织、管理和协调的重要作用。</w:t>
            </w:r>
          </w:p>
        </w:tc>
      </w:tr>
    </w:tbl>
    <w:p w14:paraId="51798EEA" w14:textId="77777777" w:rsidR="00E900AD" w:rsidRDefault="00E900AD">
      <w:pPr>
        <w:spacing w:line="560" w:lineRule="exact"/>
        <w:rPr>
          <w:rFonts w:ascii="仿宋_GB2312" w:eastAsia="仿宋_GB2312" w:hAnsi="宋体" w:hint="eastAsia"/>
          <w:sz w:val="24"/>
          <w:szCs w:val="24"/>
        </w:rPr>
      </w:pPr>
    </w:p>
    <w:sectPr w:rsidR="00E900A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34E89" w14:textId="77777777" w:rsidR="00246675" w:rsidRDefault="00246675">
      <w:pPr>
        <w:rPr>
          <w:rFonts w:hint="eastAsia"/>
        </w:rPr>
      </w:pPr>
      <w:r>
        <w:separator/>
      </w:r>
    </w:p>
  </w:endnote>
  <w:endnote w:type="continuationSeparator" w:id="0">
    <w:p w14:paraId="004477A0" w14:textId="77777777" w:rsidR="00246675" w:rsidRDefault="0024667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6168542"/>
    </w:sdtPr>
    <w:sdtEndPr>
      <w:rPr>
        <w:rFonts w:ascii="Times New Roman" w:hAnsi="Times New Roman" w:cs="Times New Roman"/>
      </w:rPr>
    </w:sdtEndPr>
    <w:sdtContent>
      <w:p w14:paraId="38F10F97" w14:textId="77777777" w:rsidR="00E900AD" w:rsidRDefault="00000000">
        <w:pPr>
          <w:pStyle w:val="a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734C03C5" w14:textId="77777777" w:rsidR="00E900AD" w:rsidRDefault="00E900AD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0854D" w14:textId="77777777" w:rsidR="00246675" w:rsidRDefault="00246675">
      <w:pPr>
        <w:rPr>
          <w:rFonts w:hint="eastAsia"/>
        </w:rPr>
      </w:pPr>
      <w:r>
        <w:separator/>
      </w:r>
    </w:p>
  </w:footnote>
  <w:footnote w:type="continuationSeparator" w:id="0">
    <w:p w14:paraId="5A97DB99" w14:textId="77777777" w:rsidR="00246675" w:rsidRDefault="0024667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CCCB4"/>
    <w:multiLevelType w:val="singleLevel"/>
    <w:tmpl w:val="1B0CCCB4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07782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2D"/>
    <w:rsid w:val="00194E22"/>
    <w:rsid w:val="00246675"/>
    <w:rsid w:val="002763E6"/>
    <w:rsid w:val="002F0F5D"/>
    <w:rsid w:val="004532AC"/>
    <w:rsid w:val="004F096D"/>
    <w:rsid w:val="00522627"/>
    <w:rsid w:val="00577CF9"/>
    <w:rsid w:val="005B724F"/>
    <w:rsid w:val="006515EA"/>
    <w:rsid w:val="006A2F7D"/>
    <w:rsid w:val="007609CD"/>
    <w:rsid w:val="007B4AAF"/>
    <w:rsid w:val="00874336"/>
    <w:rsid w:val="0087531C"/>
    <w:rsid w:val="00927936"/>
    <w:rsid w:val="00A2254C"/>
    <w:rsid w:val="00AC13B1"/>
    <w:rsid w:val="00B131C6"/>
    <w:rsid w:val="00CE5ADA"/>
    <w:rsid w:val="00DD6C3E"/>
    <w:rsid w:val="00E6492D"/>
    <w:rsid w:val="00E900AD"/>
    <w:rsid w:val="00EE79B5"/>
    <w:rsid w:val="00F36B28"/>
    <w:rsid w:val="040134DD"/>
    <w:rsid w:val="042907C8"/>
    <w:rsid w:val="0D5374B9"/>
    <w:rsid w:val="0DCD4CA3"/>
    <w:rsid w:val="13C609E5"/>
    <w:rsid w:val="13E62C7F"/>
    <w:rsid w:val="16C56FA2"/>
    <w:rsid w:val="18A8272B"/>
    <w:rsid w:val="19ED5077"/>
    <w:rsid w:val="208512E0"/>
    <w:rsid w:val="26287DBA"/>
    <w:rsid w:val="2709207D"/>
    <w:rsid w:val="28041BB9"/>
    <w:rsid w:val="2BD85DDF"/>
    <w:rsid w:val="37345E40"/>
    <w:rsid w:val="405C1C05"/>
    <w:rsid w:val="43901B26"/>
    <w:rsid w:val="4C6B504A"/>
    <w:rsid w:val="57755974"/>
    <w:rsid w:val="5AB640FE"/>
    <w:rsid w:val="62037CDB"/>
    <w:rsid w:val="62E81842"/>
    <w:rsid w:val="6D445E26"/>
    <w:rsid w:val="7622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BCACF"/>
  <w15:docId w15:val="{EB705CCA-8B73-4D76-AE7C-14965B5D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yu mao</cp:lastModifiedBy>
  <cp:revision>13</cp:revision>
  <dcterms:created xsi:type="dcterms:W3CDTF">2024-11-26T08:37:00Z</dcterms:created>
  <dcterms:modified xsi:type="dcterms:W3CDTF">2024-12-13T07:57:00Z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C16F390DDC5946FBA51C077C217F31AC_12</vt:lpwstr>
  </property>
</Properties>
</file>