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ED90F" w14:textId="77777777" w:rsidR="00B45BA3" w:rsidRDefault="00000000">
      <w:pPr>
        <w:numPr>
          <w:ilvl w:val="0"/>
          <w:numId w:val="1"/>
        </w:num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 xml:space="preserve">项目名称    </w:t>
      </w:r>
    </w:p>
    <w:p w14:paraId="0099F436" w14:textId="77777777" w:rsidR="00B45BA3" w:rsidRDefault="00000000">
      <w:pPr>
        <w:spacing w:line="360" w:lineRule="auto"/>
        <w:ind w:firstLineChars="200" w:firstLine="560"/>
        <w:rPr>
          <w:rFonts w:ascii="仿宋_GB2312" w:eastAsia="仿宋_GB2312" w:hAnsi="宋体" w:hint="eastAsia"/>
          <w:b/>
          <w:bCs/>
          <w:sz w:val="28"/>
          <w:szCs w:val="28"/>
        </w:rPr>
      </w:pPr>
      <w:r>
        <w:rPr>
          <w:rFonts w:ascii="楷体" w:eastAsia="楷体" w:hAnsi="楷体" w:cs="楷体" w:hint="eastAsia"/>
          <w:sz w:val="28"/>
          <w:szCs w:val="28"/>
        </w:rPr>
        <w:t>非线性微分系统的动力学性质研究</w:t>
      </w:r>
    </w:p>
    <w:p w14:paraId="2D3A7457" w14:textId="77777777" w:rsidR="00B45BA3" w:rsidRDefault="00000000">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68DF457" w14:textId="77777777"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提名单位：江西省教育厅</w:t>
      </w:r>
    </w:p>
    <w:p w14:paraId="7EE37E90" w14:textId="77E7A30D"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提名等级：江西省自然科学奖二等奖</w:t>
      </w:r>
    </w:p>
    <w:p w14:paraId="787B5172" w14:textId="77777777" w:rsidR="00B45BA3" w:rsidRDefault="00000000">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2DF07B6D" w14:textId="77777777"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本项目研究了两类非线性微分系统的动力学性质，该系统的提出具有重要的生物意义和物理意义。通过创建新型</w:t>
      </w:r>
      <w:r>
        <w:rPr>
          <w:rFonts w:ascii="Times New Roman" w:eastAsia="楷体" w:hAnsi="Times New Roman" w:cs="Times New Roman"/>
          <w:sz w:val="28"/>
          <w:szCs w:val="28"/>
        </w:rPr>
        <w:t>Lyapunov</w:t>
      </w:r>
      <w:r>
        <w:rPr>
          <w:rFonts w:ascii="楷体" w:eastAsia="楷体" w:hAnsi="楷体" w:cs="楷体" w:hint="eastAsia"/>
          <w:sz w:val="28"/>
          <w:szCs w:val="28"/>
        </w:rPr>
        <w:t>泛函和采用</w:t>
      </w:r>
      <w:r>
        <w:rPr>
          <w:rFonts w:ascii="楷体" w:eastAsia="楷体" w:hAnsi="楷体" w:cs="楷体" w:hint="eastAsia"/>
          <w:position w:val="-10"/>
          <w:sz w:val="28"/>
          <w:szCs w:val="28"/>
        </w:rPr>
        <w:object w:dxaOrig="1060" w:dyaOrig="360" w14:anchorId="40CA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8pt" o:ole="">
            <v:imagedata r:id="rId7" o:title=""/>
          </v:shape>
          <o:OLEObject Type="Embed" ProgID="Equation.3" ShapeID="_x0000_i1025" DrawAspect="Content" ObjectID="_1795801801" r:id="rId8"/>
        </w:object>
      </w:r>
      <w:r>
        <w:rPr>
          <w:rFonts w:ascii="楷体" w:eastAsia="楷体" w:hAnsi="楷体" w:cs="楷体" w:hint="eastAsia"/>
          <w:sz w:val="28"/>
          <w:szCs w:val="28"/>
        </w:rPr>
        <w:t>估计理论等关键技术，攻克了大初值扰动和高幂值非线性项（幂值可以取大于</w:t>
      </w:r>
      <w:r>
        <w:rPr>
          <w:rFonts w:ascii="Times New Roman" w:eastAsia="楷体" w:hAnsi="Times New Roman" w:cs="Times New Roman"/>
          <w:sz w:val="28"/>
          <w:szCs w:val="28"/>
        </w:rPr>
        <w:t>1</w:t>
      </w:r>
      <w:r>
        <w:rPr>
          <w:rFonts w:ascii="楷体" w:eastAsia="楷体" w:hAnsi="楷体" w:cs="楷体" w:hint="eastAsia"/>
          <w:sz w:val="28"/>
          <w:szCs w:val="28"/>
        </w:rPr>
        <w:t>的任意实数）影响两类非线性系统的解的时间一致有界估计的建立等关键难题。该项技术可以应用到一类具有相同结构的非线性系统的柯西问题或初边值问题的大初值解的动力学性质研究，属于一项崭新技术，是微分方程与动力系统领域中的重要发现。该项目的代表性科技成果发表在微分方程与动力系统的顶级期刊《</w:t>
      </w:r>
      <w:r>
        <w:rPr>
          <w:rFonts w:ascii="Times New Roman" w:eastAsia="楷体" w:hAnsi="Times New Roman" w:cs="Times New Roman"/>
          <w:sz w:val="28"/>
          <w:szCs w:val="28"/>
        </w:rPr>
        <w:t>SIAM Journal on Mathematical Analysis</w:t>
      </w:r>
      <w:r>
        <w:rPr>
          <w:rFonts w:ascii="楷体" w:eastAsia="楷体" w:hAnsi="楷体" w:cs="楷体" w:hint="eastAsia"/>
          <w:sz w:val="28"/>
          <w:szCs w:val="28"/>
        </w:rPr>
        <w:t>》和多篇权威期刊上，得到了同行的引用和高度评价，主持完成了国家自然科学基金青年项目和江西省自然科学基金青年项目各一项。</w:t>
      </w:r>
    </w:p>
    <w:p w14:paraId="2796EB4C" w14:textId="77777777" w:rsidR="00B45BA3" w:rsidRDefault="00000000">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63CD8F42" w14:textId="77777777"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非线性微分系统在生物数学和数学物理等领域中有着广泛且重要的应用，而解的动力学性质是非线性微分系统理论研究的核心问题。本项目研究了两类重要的非线性微分系统：</w:t>
      </w:r>
      <w:r>
        <w:rPr>
          <w:rFonts w:ascii="Times New Roman" w:eastAsia="宋体" w:hAnsi="Times New Roman" w:cs="Times New Roman"/>
          <w:sz w:val="28"/>
          <w:szCs w:val="28"/>
        </w:rPr>
        <w:t>Keller-Segel</w:t>
      </w:r>
      <w:r>
        <w:rPr>
          <w:rFonts w:ascii="楷体" w:eastAsia="楷体" w:hAnsi="楷体" w:cs="楷体" w:hint="eastAsia"/>
          <w:sz w:val="28"/>
          <w:szCs w:val="28"/>
        </w:rPr>
        <w:t>系统和</w:t>
      </w:r>
      <w:r>
        <w:rPr>
          <w:rFonts w:ascii="Times New Roman" w:eastAsia="宋体" w:hAnsi="Times New Roman" w:cs="Times New Roman"/>
          <w:sz w:val="28"/>
          <w:szCs w:val="28"/>
        </w:rPr>
        <w:t>Boussinesq-Burgers</w:t>
      </w:r>
      <w:r>
        <w:rPr>
          <w:rFonts w:ascii="楷体" w:eastAsia="楷体" w:hAnsi="楷体" w:cs="楷体" w:hint="eastAsia"/>
          <w:sz w:val="28"/>
          <w:szCs w:val="28"/>
        </w:rPr>
        <w:t>系统。主要创新点如下：</w:t>
      </w:r>
    </w:p>
    <w:p w14:paraId="5FFDD035" w14:textId="77777777" w:rsidR="00B45BA3" w:rsidRDefault="00000000">
      <w:pPr>
        <w:numPr>
          <w:ilvl w:val="0"/>
          <w:numId w:val="2"/>
        </w:num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lastRenderedPageBreak/>
        <w:t>提出了一类带</w:t>
      </w:r>
      <w:r>
        <w:rPr>
          <w:rFonts w:ascii="Times New Roman" w:eastAsia="楷体" w:hAnsi="Times New Roman" w:cs="Times New Roman"/>
          <w:sz w:val="28"/>
          <w:szCs w:val="28"/>
        </w:rPr>
        <w:t>logarithmic</w:t>
      </w:r>
      <w:r>
        <w:rPr>
          <w:rFonts w:ascii="楷体" w:eastAsia="楷体" w:hAnsi="楷体" w:cs="楷体" w:hint="eastAsia"/>
          <w:sz w:val="28"/>
          <w:szCs w:val="28"/>
        </w:rPr>
        <w:t>灵敏度和非线性生长率的</w:t>
      </w:r>
      <w:r>
        <w:rPr>
          <w:rFonts w:ascii="Times New Roman" w:eastAsia="楷体" w:hAnsi="Times New Roman" w:cs="Times New Roman"/>
          <w:sz w:val="28"/>
          <w:szCs w:val="28"/>
        </w:rPr>
        <w:t>Keller-Segel</w:t>
      </w:r>
      <w:r>
        <w:rPr>
          <w:rFonts w:ascii="楷体" w:eastAsia="楷体" w:hAnsi="楷体" w:cs="楷体" w:hint="eastAsia"/>
          <w:sz w:val="28"/>
          <w:szCs w:val="28"/>
        </w:rPr>
        <w:t>型生物趋化模型。该模型用于描述细胞密度和化学信号之间相互作用的复杂生物机理，推广了国际知名生物数学家王治安教授于</w:t>
      </w:r>
      <w:r>
        <w:rPr>
          <w:rFonts w:ascii="Times New Roman" w:eastAsia="楷体" w:hAnsi="Times New Roman" w:cs="Times New Roman"/>
          <w:sz w:val="28"/>
          <w:szCs w:val="28"/>
        </w:rPr>
        <w:t>2009</w:t>
      </w:r>
      <w:r>
        <w:rPr>
          <w:rFonts w:ascii="楷体" w:eastAsia="楷体" w:hAnsi="楷体" w:cs="楷体" w:hint="eastAsia"/>
          <w:sz w:val="28"/>
          <w:szCs w:val="28"/>
        </w:rPr>
        <w:t>年发表在生物数学顶刊《</w:t>
      </w:r>
      <w:r>
        <w:rPr>
          <w:rFonts w:ascii="Times New Roman" w:eastAsia="楷体" w:hAnsi="Times New Roman" w:cs="Times New Roman"/>
          <w:sz w:val="28"/>
          <w:szCs w:val="28"/>
        </w:rPr>
        <w:t>SIAM Journal on Applied Mathematics</w:t>
      </w:r>
      <w:r>
        <w:rPr>
          <w:rFonts w:ascii="楷体" w:eastAsia="楷体" w:hAnsi="楷体" w:cs="楷体" w:hint="eastAsia"/>
          <w:sz w:val="28"/>
          <w:szCs w:val="28"/>
        </w:rPr>
        <w:t>》杂志上带线性生长率的生物趋化模型。</w:t>
      </w:r>
    </w:p>
    <w:p w14:paraId="27297D69" w14:textId="77777777"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通过创建新型</w:t>
      </w:r>
      <w:r>
        <w:rPr>
          <w:rFonts w:ascii="Times New Roman" w:eastAsia="楷体" w:hAnsi="Times New Roman" w:cs="Times New Roman"/>
          <w:sz w:val="28"/>
          <w:szCs w:val="28"/>
        </w:rPr>
        <w:t>Lyapunov</w:t>
      </w:r>
      <w:r>
        <w:rPr>
          <w:rFonts w:ascii="楷体" w:eastAsia="楷体" w:hAnsi="楷体" w:cs="楷体" w:hint="eastAsia"/>
          <w:sz w:val="28"/>
          <w:szCs w:val="28"/>
        </w:rPr>
        <w:t>泛函和采用</w:t>
      </w:r>
      <w:r>
        <w:rPr>
          <w:rFonts w:ascii="楷体" w:eastAsia="楷体" w:hAnsi="楷体" w:cs="楷体" w:hint="eastAsia"/>
          <w:position w:val="-10"/>
          <w:sz w:val="28"/>
          <w:szCs w:val="28"/>
        </w:rPr>
        <w:object w:dxaOrig="1060" w:dyaOrig="360" w14:anchorId="28E7CBBE">
          <v:shape id="_x0000_i1026" type="#_x0000_t75" style="width:53pt;height:18pt" o:ole="">
            <v:imagedata r:id="rId7" o:title=""/>
          </v:shape>
          <o:OLEObject Type="Embed" ProgID="Equation.3" ShapeID="_x0000_i1026" DrawAspect="Content" ObjectID="_1795801802" r:id="rId9"/>
        </w:object>
      </w:r>
      <w:r>
        <w:rPr>
          <w:rFonts w:ascii="楷体" w:eastAsia="楷体" w:hAnsi="楷体" w:cs="楷体" w:hint="eastAsia"/>
          <w:sz w:val="28"/>
          <w:szCs w:val="28"/>
        </w:rPr>
        <w:t>估计理论，克服了模型中带高幂值非线性项给柯西问题大初值解的时间一致估计带来的影响。建立了柯西问题大初值解的整体存在性、长时间渐近稳定性和扩散极限，该成果发表在微分方程与动力系统的顶级期刊《</w:t>
      </w:r>
      <w:r>
        <w:rPr>
          <w:rFonts w:ascii="Times New Roman" w:eastAsia="楷体" w:hAnsi="Times New Roman" w:cs="Times New Roman"/>
          <w:sz w:val="28"/>
          <w:szCs w:val="28"/>
        </w:rPr>
        <w:t>SIAM Journal on Mathematical Analysis</w:t>
      </w:r>
      <w:r>
        <w:rPr>
          <w:rFonts w:ascii="楷体" w:eastAsia="楷体" w:hAnsi="楷体" w:cs="楷体" w:hint="eastAsia"/>
          <w:sz w:val="28"/>
          <w:szCs w:val="28"/>
        </w:rPr>
        <w:t>》杂志上，得到了同行的引用和高度评价。进一步，采用了时间加权能量估计方法，获得了柯西问题大初值解的显式代数衰减率，并将该成果发表在动力系统权威期刊《</w:t>
      </w:r>
      <w:r>
        <w:rPr>
          <w:rFonts w:ascii="Times New Roman" w:eastAsia="楷体" w:hAnsi="Times New Roman" w:cs="Times New Roman"/>
          <w:sz w:val="28"/>
          <w:szCs w:val="28"/>
        </w:rPr>
        <w:t>Discrete and Continuous Dynamical Systems</w:t>
      </w:r>
      <w:r>
        <w:rPr>
          <w:rFonts w:ascii="楷体" w:eastAsia="楷体" w:hAnsi="楷体" w:cs="楷体" w:hint="eastAsia"/>
          <w:sz w:val="28"/>
          <w:szCs w:val="28"/>
        </w:rPr>
        <w:t>》杂志上。</w:t>
      </w:r>
    </w:p>
    <w:p w14:paraId="7DBCFE28" w14:textId="77777777" w:rsidR="00B45BA3" w:rsidRDefault="00000000">
      <w:pPr>
        <w:numPr>
          <w:ilvl w:val="0"/>
          <w:numId w:val="2"/>
        </w:num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提出了一类广义的非线性耗散-色散浅水波系统。该系统可以更加精确地预测浅水波的传播行为，推广了美国科学院院士</w:t>
      </w:r>
      <w:r>
        <w:rPr>
          <w:rFonts w:ascii="Times New Roman" w:eastAsia="楷体" w:hAnsi="Times New Roman" w:cs="Times New Roman"/>
          <w:sz w:val="28"/>
          <w:szCs w:val="28"/>
        </w:rPr>
        <w:t>Bona</w:t>
      </w:r>
      <w:r>
        <w:rPr>
          <w:rFonts w:ascii="楷体" w:eastAsia="楷体" w:hAnsi="楷体" w:cs="楷体" w:hint="eastAsia"/>
          <w:sz w:val="28"/>
          <w:szCs w:val="28"/>
        </w:rPr>
        <w:t>教授于</w:t>
      </w:r>
      <w:r>
        <w:rPr>
          <w:rFonts w:ascii="Times New Roman" w:eastAsia="楷体" w:hAnsi="Times New Roman" w:cs="Times New Roman"/>
          <w:sz w:val="28"/>
          <w:szCs w:val="28"/>
        </w:rPr>
        <w:t>2002</w:t>
      </w:r>
      <w:r>
        <w:rPr>
          <w:rFonts w:ascii="楷体" w:eastAsia="楷体" w:hAnsi="楷体" w:cs="楷体" w:hint="eastAsia"/>
          <w:sz w:val="28"/>
          <w:szCs w:val="28"/>
        </w:rPr>
        <w:t>年发表在国际著名</w:t>
      </w:r>
      <w:r>
        <w:rPr>
          <w:rFonts w:ascii="Times New Roman" w:eastAsia="楷体" w:hAnsi="Times New Roman" w:cs="Times New Roman"/>
          <w:sz w:val="28"/>
          <w:szCs w:val="28"/>
        </w:rPr>
        <w:t>SCI</w:t>
      </w:r>
      <w:r>
        <w:rPr>
          <w:rFonts w:ascii="楷体" w:eastAsia="楷体" w:hAnsi="楷体" w:cs="楷体" w:hint="eastAsia"/>
          <w:sz w:val="28"/>
          <w:szCs w:val="28"/>
        </w:rPr>
        <w:t>期刊《</w:t>
      </w:r>
      <w:r>
        <w:rPr>
          <w:rFonts w:ascii="Times New Roman" w:eastAsia="楷体" w:hAnsi="Times New Roman" w:cs="Times New Roman"/>
          <w:sz w:val="28"/>
          <w:szCs w:val="28"/>
        </w:rPr>
        <w:t>Journal of Nonlinear Science</w:t>
      </w:r>
      <w:r>
        <w:rPr>
          <w:rFonts w:ascii="楷体" w:eastAsia="楷体" w:hAnsi="楷体" w:cs="楷体" w:hint="eastAsia"/>
          <w:sz w:val="28"/>
          <w:szCs w:val="28"/>
        </w:rPr>
        <w:t>》杂志上一般的水波模型。</w:t>
      </w:r>
    </w:p>
    <w:p w14:paraId="566F3CA4" w14:textId="77777777"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通过创建与广义的非线性耗散-色散浅水波系统相关联的</w:t>
      </w:r>
      <w:r>
        <w:rPr>
          <w:rFonts w:ascii="Times New Roman" w:eastAsia="楷体" w:hAnsi="Times New Roman" w:cs="Times New Roman"/>
          <w:sz w:val="28"/>
          <w:szCs w:val="28"/>
        </w:rPr>
        <w:t>Lyapunov</w:t>
      </w:r>
      <w:r>
        <w:rPr>
          <w:rFonts w:ascii="楷体" w:eastAsia="楷体" w:hAnsi="楷体" w:cs="楷体" w:hint="eastAsia"/>
          <w:sz w:val="28"/>
          <w:szCs w:val="28"/>
        </w:rPr>
        <w:t>泛函，克服了大初值给柯西问题解的整体存在性证明带来的困难；采用</w:t>
      </w:r>
      <w:r>
        <w:rPr>
          <w:rFonts w:ascii="楷体" w:eastAsia="楷体" w:hAnsi="楷体" w:cs="楷体" w:hint="eastAsia"/>
          <w:position w:val="-10"/>
          <w:sz w:val="28"/>
          <w:szCs w:val="28"/>
        </w:rPr>
        <w:object w:dxaOrig="1060" w:dyaOrig="360" w14:anchorId="5F80080C">
          <v:shape id="_x0000_i1027" type="#_x0000_t75" style="width:53pt;height:18pt" o:ole="">
            <v:imagedata r:id="rId7" o:title=""/>
          </v:shape>
          <o:OLEObject Type="Embed" ProgID="Equation.3" ShapeID="_x0000_i1027" DrawAspect="Content" ObjectID="_1795801803" r:id="rId10"/>
        </w:object>
      </w:r>
      <w:r>
        <w:rPr>
          <w:rFonts w:ascii="楷体" w:eastAsia="楷体" w:hAnsi="楷体" w:cs="楷体" w:hint="eastAsia"/>
          <w:sz w:val="28"/>
          <w:szCs w:val="28"/>
        </w:rPr>
        <w:t>估计理论和结合系统的色散结构，解决了系统中非线性项幂值在</w:t>
      </w:r>
      <w:r>
        <w:rPr>
          <w:rFonts w:ascii="Times New Roman" w:eastAsia="楷体" w:hAnsi="Times New Roman" w:cs="Times New Roman"/>
          <w:sz w:val="28"/>
          <w:szCs w:val="28"/>
        </w:rPr>
        <w:t>1</w:t>
      </w:r>
      <w:r>
        <w:rPr>
          <w:rFonts w:ascii="楷体" w:eastAsia="楷体" w:hAnsi="楷体" w:cs="楷体" w:hint="eastAsia"/>
          <w:sz w:val="28"/>
          <w:szCs w:val="28"/>
        </w:rPr>
        <w:t>和</w:t>
      </w:r>
      <w:r>
        <w:rPr>
          <w:rFonts w:ascii="Times New Roman" w:eastAsia="楷体" w:hAnsi="Times New Roman" w:cs="Times New Roman"/>
          <w:sz w:val="28"/>
          <w:szCs w:val="28"/>
        </w:rPr>
        <w:t>2</w:t>
      </w:r>
      <w:r>
        <w:rPr>
          <w:rFonts w:ascii="楷体" w:eastAsia="楷体" w:hAnsi="楷体" w:cs="楷体" w:hint="eastAsia"/>
          <w:sz w:val="28"/>
          <w:szCs w:val="28"/>
        </w:rPr>
        <w:t>之间取值给柯西问题大初值解的时间一致</w:t>
      </w:r>
      <w:r>
        <w:rPr>
          <w:rFonts w:ascii="楷体" w:eastAsia="楷体" w:hAnsi="楷体" w:cs="楷体" w:hint="eastAsia"/>
          <w:position w:val="-4"/>
          <w:sz w:val="28"/>
          <w:szCs w:val="28"/>
        </w:rPr>
        <w:object w:dxaOrig="279" w:dyaOrig="300" w14:anchorId="4DC18DE6">
          <v:shape id="_x0000_i1028" type="#_x0000_t75" style="width:14pt;height:15pt" o:ole="">
            <v:imagedata r:id="rId11" o:title=""/>
          </v:shape>
          <o:OLEObject Type="Embed" ProgID="Equation.3" ShapeID="_x0000_i1028" DrawAspect="Content" ObjectID="_1795801804" r:id="rId12"/>
        </w:object>
      </w:r>
      <w:r>
        <w:rPr>
          <w:rFonts w:ascii="楷体" w:eastAsia="楷体" w:hAnsi="楷体" w:cs="楷体" w:hint="eastAsia"/>
          <w:sz w:val="28"/>
          <w:szCs w:val="28"/>
        </w:rPr>
        <w:t>估计带来的困难。进而获得了该系统的柯西问题大初值解的整体存</w:t>
      </w:r>
      <w:r>
        <w:rPr>
          <w:rFonts w:ascii="楷体" w:eastAsia="楷体" w:hAnsi="楷体" w:cs="楷体" w:hint="eastAsia"/>
          <w:sz w:val="28"/>
          <w:szCs w:val="28"/>
        </w:rPr>
        <w:lastRenderedPageBreak/>
        <w:t>在性、长时间渐近稳定性和扩散极限，该成果发表在国际著名</w:t>
      </w:r>
      <w:r>
        <w:rPr>
          <w:rFonts w:ascii="Times New Roman" w:eastAsia="楷体" w:hAnsi="Times New Roman" w:cs="Times New Roman"/>
          <w:sz w:val="28"/>
          <w:szCs w:val="28"/>
        </w:rPr>
        <w:t>SCI</w:t>
      </w:r>
      <w:r>
        <w:rPr>
          <w:rFonts w:ascii="楷体" w:eastAsia="楷体" w:hAnsi="楷体" w:cs="楷体" w:hint="eastAsia"/>
          <w:sz w:val="28"/>
          <w:szCs w:val="28"/>
        </w:rPr>
        <w:t>期刊《</w:t>
      </w:r>
      <w:r>
        <w:rPr>
          <w:rFonts w:ascii="Times New Roman" w:eastAsia="楷体" w:hAnsi="Times New Roman" w:cs="Times New Roman"/>
          <w:sz w:val="28"/>
          <w:szCs w:val="28"/>
        </w:rPr>
        <w:t>Physica D</w:t>
      </w:r>
      <w:r>
        <w:rPr>
          <w:rFonts w:ascii="楷体" w:eastAsia="楷体" w:hAnsi="楷体" w:cs="楷体" w:hint="eastAsia"/>
          <w:sz w:val="28"/>
          <w:szCs w:val="28"/>
        </w:rPr>
        <w:t>》杂志上。进一步采用时间加权能量估计方法，获得了该系统的柯西问题大初值解的代数衰减率，并将该成果发表在国际著名</w:t>
      </w:r>
      <w:r>
        <w:rPr>
          <w:rFonts w:ascii="Times New Roman" w:eastAsia="楷体" w:hAnsi="Times New Roman" w:cs="Times New Roman"/>
          <w:sz w:val="28"/>
          <w:szCs w:val="28"/>
        </w:rPr>
        <w:t>SCI</w:t>
      </w:r>
      <w:r>
        <w:rPr>
          <w:rFonts w:ascii="楷体" w:eastAsia="楷体" w:hAnsi="楷体" w:cs="楷体" w:hint="eastAsia"/>
          <w:sz w:val="28"/>
          <w:szCs w:val="28"/>
        </w:rPr>
        <w:t>期刊《</w:t>
      </w:r>
      <w:r>
        <w:rPr>
          <w:rFonts w:ascii="Times New Roman" w:eastAsia="楷体" w:hAnsi="Times New Roman" w:cs="Times New Roman"/>
          <w:sz w:val="28"/>
          <w:szCs w:val="28"/>
        </w:rPr>
        <w:t>Applied Mathematics Letters</w:t>
      </w:r>
      <w:r>
        <w:rPr>
          <w:rFonts w:ascii="楷体" w:eastAsia="楷体" w:hAnsi="楷体" w:cs="楷体" w:hint="eastAsia"/>
          <w:sz w:val="28"/>
          <w:szCs w:val="28"/>
        </w:rPr>
        <w:t>》杂志上。</w:t>
      </w:r>
    </w:p>
    <w:p w14:paraId="04764004" w14:textId="77777777" w:rsidR="00B45BA3" w:rsidRDefault="00000000">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4782842A" w14:textId="77777777" w:rsidR="00B45BA3" w:rsidRDefault="00000000">
      <w:pPr>
        <w:spacing w:line="360" w:lineRule="auto"/>
        <w:ind w:firstLineChars="200" w:firstLine="562"/>
        <w:rPr>
          <w:rFonts w:ascii="Times New Roman" w:hAnsi="Times New Roman" w:cs="Times New Roman"/>
          <w:b/>
          <w:bCs/>
          <w:sz w:val="28"/>
          <w:szCs w:val="28"/>
        </w:rPr>
      </w:pPr>
      <w:bookmarkStart w:id="0" w:name="OLE_LINK1"/>
      <w:r>
        <w:rPr>
          <w:rFonts w:ascii="楷体" w:eastAsia="楷体" w:hAnsi="楷体" w:cs="楷体" w:hint="eastAsia"/>
          <w:b/>
          <w:bCs/>
          <w:sz w:val="28"/>
          <w:szCs w:val="28"/>
        </w:rPr>
        <w:t>代表性论文：</w:t>
      </w:r>
    </w:p>
    <w:p w14:paraId="75150743" w14:textId="77777777" w:rsidR="00B45BA3" w:rsidRDefault="00000000">
      <w:pPr>
        <w:spacing w:line="360" w:lineRule="auto"/>
        <w:ind w:left="560" w:hangingChars="200" w:hanging="560"/>
        <w:rPr>
          <w:rFonts w:ascii="楷体" w:eastAsia="楷体" w:hAnsi="楷体" w:cs="楷体" w:hint="eastAsia"/>
          <w:sz w:val="28"/>
          <w:szCs w:val="28"/>
        </w:rPr>
      </w:pPr>
      <w:r>
        <w:rPr>
          <w:rFonts w:ascii="Times New Roman" w:hAnsi="Times New Roman" w:cs="Times New Roman" w:hint="eastAsia"/>
          <w:sz w:val="28"/>
          <w:szCs w:val="28"/>
        </w:rPr>
        <w:t xml:space="preserve">[1] </w:t>
      </w:r>
      <w:r>
        <w:rPr>
          <w:rFonts w:ascii="Times New Roman" w:hAnsi="Times New Roman" w:cs="Times New Roman"/>
          <w:b/>
          <w:bCs/>
          <w:sz w:val="28"/>
          <w:szCs w:val="28"/>
        </w:rPr>
        <w:t>Neng Zhu</w:t>
      </w:r>
      <w:r>
        <w:rPr>
          <w:rFonts w:ascii="Times New Roman" w:hAnsi="Times New Roman" w:cs="Times New Roman"/>
          <w:sz w:val="28"/>
          <w:szCs w:val="28"/>
        </w:rPr>
        <w:t>, Zhengrong Liu, Vincent R. Martinez</w:t>
      </w:r>
      <w:r>
        <w:rPr>
          <w:rFonts w:ascii="Times New Roman" w:hAnsi="Times New Roman" w:cs="Times New Roman" w:hint="eastAsia"/>
          <w:sz w:val="28"/>
          <w:szCs w:val="28"/>
        </w:rPr>
        <w:t>*</w:t>
      </w:r>
      <w:r>
        <w:rPr>
          <w:rFonts w:ascii="Times New Roman" w:hAnsi="Times New Roman" w:cs="Times New Roman"/>
          <w:sz w:val="28"/>
          <w:szCs w:val="28"/>
        </w:rPr>
        <w:t xml:space="preserve">, Kun Zhao, Global Cauchy problem of a system of parabolic conservation laws arising from a Keller-Segel type chemotaxis model, </w:t>
      </w:r>
      <w:r>
        <w:rPr>
          <w:rFonts w:ascii="Times New Roman" w:hAnsi="Times New Roman" w:cs="Times New Roman"/>
          <w:b/>
          <w:bCs/>
          <w:i/>
          <w:iCs/>
          <w:sz w:val="28"/>
          <w:szCs w:val="28"/>
        </w:rPr>
        <w:t>SIAM Journal on Mathematical Analysis</w:t>
      </w:r>
      <w:r>
        <w:rPr>
          <w:rFonts w:ascii="Times New Roman" w:hAnsi="Times New Roman" w:cs="Times New Roman"/>
          <w:sz w:val="28"/>
          <w:szCs w:val="28"/>
        </w:rPr>
        <w:t>, 2018, 50(5): 5380-5425.</w:t>
      </w:r>
      <w:bookmarkEnd w:id="0"/>
      <w:r>
        <w:rPr>
          <w:rFonts w:ascii="楷体" w:eastAsia="楷体" w:hAnsi="楷体" w:cs="楷体" w:hint="eastAsia"/>
          <w:sz w:val="28"/>
          <w:szCs w:val="28"/>
        </w:rPr>
        <w:t>（微分方程与动力系统顶级期刊，</w:t>
      </w:r>
      <w:r>
        <w:rPr>
          <w:rFonts w:ascii="Times New Roman" w:eastAsia="楷体" w:hAnsi="Times New Roman" w:cs="Times New Roman"/>
          <w:sz w:val="28"/>
          <w:szCs w:val="28"/>
        </w:rPr>
        <w:t>SCI</w:t>
      </w:r>
      <w:r>
        <w:rPr>
          <w:rFonts w:ascii="楷体" w:eastAsia="楷体" w:hAnsi="楷体" w:cs="楷体" w:hint="eastAsia"/>
          <w:sz w:val="28"/>
          <w:szCs w:val="28"/>
        </w:rPr>
        <w:t>二区</w:t>
      </w:r>
      <w:r>
        <w:rPr>
          <w:rFonts w:ascii="Times New Roman" w:eastAsia="楷体" w:hAnsi="Times New Roman" w:cs="Times New Roman"/>
          <w:sz w:val="28"/>
          <w:szCs w:val="28"/>
        </w:rPr>
        <w:t>Top</w:t>
      </w:r>
      <w:r>
        <w:rPr>
          <w:rFonts w:ascii="楷体" w:eastAsia="楷体" w:hAnsi="楷体" w:cs="楷体" w:hint="eastAsia"/>
          <w:sz w:val="28"/>
          <w:szCs w:val="28"/>
        </w:rPr>
        <w:t>）</w:t>
      </w:r>
    </w:p>
    <w:p w14:paraId="42C48489" w14:textId="77777777" w:rsidR="00B45BA3" w:rsidRDefault="00000000">
      <w:pPr>
        <w:spacing w:line="560" w:lineRule="exact"/>
        <w:ind w:left="560" w:hangingChars="200" w:hanging="560"/>
        <w:rPr>
          <w:rFonts w:ascii="楷体" w:eastAsia="楷体" w:hAnsi="楷体" w:cs="楷体"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rPr>
        <w:t>2</w:t>
      </w:r>
      <w:r>
        <w:rPr>
          <w:rFonts w:ascii="Times New Roman" w:hAnsi="Times New Roman" w:cs="Times New Roman"/>
          <w:sz w:val="28"/>
          <w:szCs w:val="28"/>
        </w:rPr>
        <w:t xml:space="preserve">] </w:t>
      </w:r>
      <w:bookmarkStart w:id="1" w:name="OLE_LINK2"/>
      <w:r>
        <w:rPr>
          <w:rFonts w:ascii="Times New Roman" w:hAnsi="Times New Roman" w:cs="Times New Roman"/>
          <w:b/>
          <w:bCs/>
          <w:sz w:val="28"/>
          <w:szCs w:val="28"/>
        </w:rPr>
        <w:t>Neng Zhu</w:t>
      </w:r>
      <w:r>
        <w:rPr>
          <w:rFonts w:ascii="Times New Roman" w:hAnsi="Times New Roman" w:cs="Times New Roman"/>
          <w:sz w:val="28"/>
          <w:szCs w:val="28"/>
        </w:rPr>
        <w:t>, Zhengrong Liu, Kun Zhao</w:t>
      </w:r>
      <w:r>
        <w:rPr>
          <w:rFonts w:ascii="Times New Roman" w:hAnsi="Times New Roman" w:cs="Times New Roman" w:hint="eastAsia"/>
          <w:sz w:val="28"/>
          <w:szCs w:val="28"/>
        </w:rPr>
        <w:t>*</w:t>
      </w:r>
      <w:r>
        <w:rPr>
          <w:rFonts w:ascii="Times New Roman" w:hAnsi="Times New Roman" w:cs="Times New Roman"/>
          <w:sz w:val="28"/>
          <w:szCs w:val="28"/>
        </w:rPr>
        <w:t>, Non blowup of a generalized Boussinesq-Burgers system with nonlinear dispersion relation and large data,</w:t>
      </w:r>
      <w:r>
        <w:rPr>
          <w:rFonts w:ascii="Times New Roman" w:hAnsi="Times New Roman" w:cs="Times New Roman"/>
          <w:b/>
          <w:bCs/>
          <w:sz w:val="28"/>
          <w:szCs w:val="28"/>
        </w:rPr>
        <w:t xml:space="preserve"> </w:t>
      </w:r>
      <w:r>
        <w:rPr>
          <w:rFonts w:ascii="Times New Roman" w:hAnsi="Times New Roman" w:cs="Times New Roman"/>
          <w:b/>
          <w:bCs/>
          <w:i/>
          <w:iCs/>
          <w:sz w:val="28"/>
          <w:szCs w:val="28"/>
        </w:rPr>
        <w:t>Physica D</w:t>
      </w:r>
      <w:r>
        <w:rPr>
          <w:rFonts w:ascii="Times New Roman" w:hAnsi="Times New Roman" w:cs="Times New Roman"/>
          <w:i/>
          <w:iCs/>
          <w:sz w:val="28"/>
          <w:szCs w:val="28"/>
        </w:rPr>
        <w:t>,</w:t>
      </w:r>
      <w:r>
        <w:rPr>
          <w:rFonts w:ascii="Times New Roman" w:hAnsi="Times New Roman" w:cs="Times New Roman"/>
          <w:sz w:val="28"/>
          <w:szCs w:val="28"/>
        </w:rPr>
        <w:t xml:space="preserve"> 2019, 392: 81-98.</w:t>
      </w:r>
      <w:bookmarkEnd w:id="1"/>
      <w:r>
        <w:rPr>
          <w:rFonts w:ascii="楷体" w:eastAsia="楷体" w:hAnsi="楷体" w:cs="楷体" w:hint="eastAsia"/>
          <w:sz w:val="28"/>
          <w:szCs w:val="28"/>
        </w:rPr>
        <w:t>（微分方程与动力系统权威期刊，</w:t>
      </w:r>
      <w:r>
        <w:rPr>
          <w:rFonts w:ascii="Times New Roman" w:eastAsia="楷体" w:hAnsi="Times New Roman" w:cs="Times New Roman"/>
          <w:sz w:val="28"/>
          <w:szCs w:val="28"/>
        </w:rPr>
        <w:t>SCI</w:t>
      </w:r>
      <w:r>
        <w:rPr>
          <w:rFonts w:ascii="楷体" w:eastAsia="楷体" w:hAnsi="楷体" w:cs="楷体" w:hint="eastAsia"/>
          <w:sz w:val="28"/>
          <w:szCs w:val="28"/>
        </w:rPr>
        <w:t>二区）</w:t>
      </w:r>
    </w:p>
    <w:p w14:paraId="081D4487" w14:textId="77777777" w:rsidR="00B45BA3" w:rsidRDefault="00000000">
      <w:pPr>
        <w:spacing w:line="560" w:lineRule="exact"/>
        <w:ind w:left="560" w:hangingChars="200" w:hanging="560"/>
        <w:rPr>
          <w:rFonts w:ascii="楷体" w:eastAsia="楷体" w:hAnsi="楷体" w:cs="楷体"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rPr>
        <w:t>3</w:t>
      </w:r>
      <w:r>
        <w:rPr>
          <w:rFonts w:ascii="Times New Roman" w:hAnsi="Times New Roman" w:cs="Times New Roman"/>
          <w:sz w:val="28"/>
          <w:szCs w:val="28"/>
        </w:rPr>
        <w:t xml:space="preserve">] </w:t>
      </w:r>
      <w:r>
        <w:rPr>
          <w:rFonts w:ascii="Times New Roman" w:hAnsi="Times New Roman" w:cs="Times New Roman"/>
          <w:b/>
          <w:bCs/>
          <w:sz w:val="28"/>
          <w:szCs w:val="28"/>
        </w:rPr>
        <w:t>Neng Zhu</w:t>
      </w:r>
      <w:r>
        <w:rPr>
          <w:rFonts w:ascii="Times New Roman" w:hAnsi="Times New Roman" w:cs="Times New Roman"/>
          <w:sz w:val="28"/>
          <w:szCs w:val="28"/>
        </w:rPr>
        <w:t>, Zhengrong Liu, Fang Wang, Kun Zhao</w:t>
      </w:r>
      <w:r>
        <w:rPr>
          <w:rFonts w:ascii="Times New Roman" w:hAnsi="Times New Roman" w:cs="Times New Roman" w:hint="eastAsia"/>
          <w:sz w:val="28"/>
          <w:szCs w:val="28"/>
        </w:rPr>
        <w:t>*</w:t>
      </w:r>
      <w:r>
        <w:rPr>
          <w:rFonts w:ascii="Times New Roman" w:hAnsi="Times New Roman" w:cs="Times New Roman"/>
          <w:sz w:val="28"/>
          <w:szCs w:val="28"/>
        </w:rPr>
        <w:t xml:space="preserve">, Explicit decay rates for a generalized Boussinesq-Burgers system, </w:t>
      </w:r>
      <w:r>
        <w:rPr>
          <w:rFonts w:ascii="Times New Roman" w:hAnsi="Times New Roman" w:cs="Times New Roman"/>
          <w:b/>
          <w:bCs/>
          <w:i/>
          <w:iCs/>
          <w:sz w:val="28"/>
          <w:szCs w:val="28"/>
        </w:rPr>
        <w:t>Applied Mathematics Letters</w:t>
      </w:r>
      <w:r>
        <w:rPr>
          <w:rFonts w:ascii="Times New Roman" w:hAnsi="Times New Roman" w:cs="Times New Roman"/>
          <w:sz w:val="28"/>
          <w:szCs w:val="28"/>
        </w:rPr>
        <w:t>, 2020, 1</w:t>
      </w:r>
      <w:r>
        <w:rPr>
          <w:rFonts w:ascii="Times New Roman" w:eastAsia="楷体" w:hAnsi="Times New Roman" w:cs="Times New Roman"/>
          <w:sz w:val="28"/>
          <w:szCs w:val="28"/>
        </w:rPr>
        <w:t>00: 106054.</w:t>
      </w:r>
      <w:r>
        <w:rPr>
          <w:rFonts w:ascii="楷体" w:eastAsia="楷体" w:hAnsi="楷体" w:cs="楷体" w:hint="eastAsia"/>
          <w:sz w:val="28"/>
          <w:szCs w:val="28"/>
        </w:rPr>
        <w:t>（</w:t>
      </w:r>
      <w:r>
        <w:rPr>
          <w:rFonts w:ascii="Times New Roman" w:eastAsia="楷体" w:hAnsi="Times New Roman" w:cs="Times New Roman"/>
          <w:sz w:val="28"/>
          <w:szCs w:val="28"/>
        </w:rPr>
        <w:t>SCI</w:t>
      </w:r>
      <w:r>
        <w:rPr>
          <w:rFonts w:ascii="Times New Roman" w:eastAsia="楷体" w:hAnsi="Times New Roman" w:cs="Times New Roman" w:hint="eastAsia"/>
          <w:sz w:val="28"/>
          <w:szCs w:val="28"/>
        </w:rPr>
        <w:t>一</w:t>
      </w:r>
      <w:r>
        <w:rPr>
          <w:rFonts w:ascii="楷体" w:eastAsia="楷体" w:hAnsi="楷体" w:cs="楷体" w:hint="eastAsia"/>
          <w:sz w:val="28"/>
          <w:szCs w:val="28"/>
        </w:rPr>
        <w:t>区</w:t>
      </w:r>
      <w:r>
        <w:rPr>
          <w:rFonts w:ascii="Times New Roman" w:eastAsia="楷体" w:hAnsi="Times New Roman" w:cs="Times New Roman"/>
          <w:sz w:val="28"/>
          <w:szCs w:val="28"/>
        </w:rPr>
        <w:t>Top</w:t>
      </w:r>
      <w:r>
        <w:rPr>
          <w:rFonts w:ascii="楷体" w:eastAsia="楷体" w:hAnsi="楷体" w:cs="楷体" w:hint="eastAsia"/>
          <w:sz w:val="28"/>
          <w:szCs w:val="28"/>
        </w:rPr>
        <w:t>）</w:t>
      </w:r>
    </w:p>
    <w:p w14:paraId="65DAB0D4" w14:textId="77777777" w:rsidR="00B45BA3" w:rsidRDefault="00000000">
      <w:pPr>
        <w:spacing w:line="560" w:lineRule="exact"/>
        <w:ind w:left="560" w:hangingChars="200" w:hanging="560"/>
        <w:rPr>
          <w:rFonts w:ascii="楷体" w:eastAsia="楷体" w:hAnsi="楷体" w:cs="楷体"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rPr>
        <w:t>4</w:t>
      </w:r>
      <w:r>
        <w:rPr>
          <w:rFonts w:ascii="Times New Roman" w:hAnsi="Times New Roman" w:cs="Times New Roman"/>
          <w:sz w:val="28"/>
          <w:szCs w:val="28"/>
        </w:rPr>
        <w:t xml:space="preserve">] </w:t>
      </w:r>
      <w:r>
        <w:rPr>
          <w:rFonts w:ascii="Times New Roman" w:hAnsi="Times New Roman" w:cs="Times New Roman"/>
          <w:b/>
          <w:bCs/>
          <w:sz w:val="28"/>
          <w:szCs w:val="28"/>
        </w:rPr>
        <w:t>Neng Zhu</w:t>
      </w:r>
      <w:r>
        <w:rPr>
          <w:rFonts w:ascii="Times New Roman" w:hAnsi="Times New Roman" w:cs="Times New Roman"/>
          <w:sz w:val="28"/>
          <w:szCs w:val="28"/>
        </w:rPr>
        <w:t>, Zhengrong Liu, Fang Wang, Kun Zhao</w:t>
      </w:r>
      <w:r>
        <w:rPr>
          <w:rFonts w:ascii="Times New Roman" w:hAnsi="Times New Roman" w:cs="Times New Roman" w:hint="eastAsia"/>
          <w:sz w:val="28"/>
          <w:szCs w:val="28"/>
        </w:rPr>
        <w:t>*</w:t>
      </w:r>
      <w:r>
        <w:rPr>
          <w:rFonts w:ascii="Times New Roman" w:hAnsi="Times New Roman" w:cs="Times New Roman"/>
          <w:sz w:val="28"/>
          <w:szCs w:val="28"/>
        </w:rPr>
        <w:t>, Asymptotic dynamics of a system of</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conservation laws from chemotaxis, </w:t>
      </w:r>
      <w:r>
        <w:rPr>
          <w:rFonts w:ascii="Times New Roman" w:hAnsi="Times New Roman" w:cs="Times New Roman"/>
          <w:b/>
          <w:bCs/>
          <w:i/>
          <w:iCs/>
          <w:sz w:val="28"/>
          <w:szCs w:val="28"/>
        </w:rPr>
        <w:t>Discrete and Continuous Dynamical Systems</w:t>
      </w:r>
      <w:r>
        <w:rPr>
          <w:rFonts w:ascii="Times New Roman" w:hAnsi="Times New Roman" w:cs="Times New Roman"/>
          <w:i/>
          <w:iCs/>
          <w:sz w:val="28"/>
          <w:szCs w:val="28"/>
        </w:rPr>
        <w:t xml:space="preserve">, </w:t>
      </w:r>
      <w:r>
        <w:rPr>
          <w:rFonts w:ascii="Times New Roman" w:hAnsi="Times New Roman" w:cs="Times New Roman"/>
          <w:sz w:val="28"/>
          <w:szCs w:val="28"/>
        </w:rPr>
        <w:t>2021, 41(2): 813-847.</w:t>
      </w:r>
      <w:r>
        <w:rPr>
          <w:rFonts w:ascii="楷体" w:eastAsia="楷体" w:hAnsi="楷体" w:cs="楷体" w:hint="eastAsia"/>
          <w:sz w:val="28"/>
          <w:szCs w:val="28"/>
        </w:rPr>
        <w:t>（微分方程与动力系统权威期刊，</w:t>
      </w:r>
      <w:r>
        <w:rPr>
          <w:rFonts w:ascii="Times New Roman" w:eastAsia="楷体" w:hAnsi="Times New Roman" w:cs="Times New Roman"/>
          <w:sz w:val="28"/>
          <w:szCs w:val="28"/>
        </w:rPr>
        <w:t>SCI</w:t>
      </w:r>
      <w:r>
        <w:rPr>
          <w:rFonts w:ascii="Times New Roman" w:eastAsia="楷体" w:hAnsi="Times New Roman" w:cs="Times New Roman" w:hint="eastAsia"/>
          <w:sz w:val="28"/>
          <w:szCs w:val="28"/>
        </w:rPr>
        <w:t>三</w:t>
      </w:r>
      <w:r>
        <w:rPr>
          <w:rFonts w:ascii="楷体" w:eastAsia="楷体" w:hAnsi="楷体" w:cs="楷体" w:hint="eastAsia"/>
          <w:sz w:val="28"/>
          <w:szCs w:val="28"/>
        </w:rPr>
        <w:t>区）</w:t>
      </w:r>
    </w:p>
    <w:p w14:paraId="11BEA14A" w14:textId="77777777" w:rsidR="00B45BA3" w:rsidRDefault="00000000">
      <w:pPr>
        <w:spacing w:line="560" w:lineRule="exact"/>
        <w:ind w:firstLineChars="200" w:firstLine="562"/>
        <w:rPr>
          <w:rFonts w:ascii="楷体" w:eastAsia="楷体" w:hAnsi="楷体" w:cs="楷体" w:hint="eastAsia"/>
          <w:sz w:val="28"/>
          <w:szCs w:val="28"/>
        </w:rPr>
      </w:pPr>
      <w:r>
        <w:rPr>
          <w:rFonts w:ascii="楷体" w:eastAsia="楷体" w:hAnsi="楷体" w:cs="楷体" w:hint="eastAsia"/>
          <w:b/>
          <w:bCs/>
          <w:sz w:val="28"/>
          <w:szCs w:val="28"/>
        </w:rPr>
        <w:t>主持完成项目：</w:t>
      </w:r>
    </w:p>
    <w:p w14:paraId="593E596A" w14:textId="77777777" w:rsidR="00B45BA3" w:rsidRDefault="00000000">
      <w:pPr>
        <w:spacing w:line="560" w:lineRule="exact"/>
        <w:ind w:leftChars="67" w:left="701" w:hangingChars="200" w:hanging="560"/>
        <w:rPr>
          <w:rFonts w:ascii="Times New Roman" w:hAnsi="Times New Roman" w:cs="Times New Roman"/>
          <w:sz w:val="28"/>
          <w:szCs w:val="28"/>
        </w:rPr>
      </w:pPr>
      <w:r>
        <w:rPr>
          <w:rFonts w:ascii="Times New Roman" w:hAnsi="Times New Roman" w:cs="Times New Roman" w:hint="eastAsia"/>
          <w:sz w:val="28"/>
          <w:szCs w:val="28"/>
        </w:rPr>
        <w:lastRenderedPageBreak/>
        <w:t xml:space="preserve">[1] </w:t>
      </w:r>
      <w:r>
        <w:rPr>
          <w:rFonts w:ascii="楷体" w:eastAsia="楷体" w:hAnsi="楷体" w:cs="楷体" w:hint="eastAsia"/>
          <w:sz w:val="28"/>
          <w:szCs w:val="28"/>
        </w:rPr>
        <w:t>国家自然科学基金青年项目（</w:t>
      </w:r>
      <w:r>
        <w:rPr>
          <w:rFonts w:ascii="Times New Roman" w:eastAsia="楷体" w:hAnsi="Times New Roman" w:cs="Times New Roman"/>
          <w:sz w:val="28"/>
          <w:szCs w:val="28"/>
        </w:rPr>
        <w:t>11901277</w:t>
      </w:r>
      <w:r>
        <w:rPr>
          <w:rFonts w:ascii="楷体" w:eastAsia="楷体" w:hAnsi="楷体" w:cs="楷体" w:hint="eastAsia"/>
          <w:sz w:val="28"/>
          <w:szCs w:val="28"/>
        </w:rPr>
        <w:t>）：大初值扰动下</w:t>
      </w:r>
      <w:r>
        <w:rPr>
          <w:rFonts w:ascii="Times New Roman" w:hAnsi="Times New Roman" w:cs="Times New Roman"/>
          <w:sz w:val="28"/>
          <w:szCs w:val="28"/>
        </w:rPr>
        <w:t>Boussinesq-Burgers</w:t>
      </w:r>
      <w:r>
        <w:rPr>
          <w:rFonts w:ascii="楷体" w:eastAsia="楷体" w:hAnsi="楷体" w:cs="楷体" w:hint="eastAsia"/>
          <w:sz w:val="28"/>
          <w:szCs w:val="28"/>
        </w:rPr>
        <w:t>方程的动力学性态研究，</w:t>
      </w:r>
      <w:r>
        <w:rPr>
          <w:rFonts w:ascii="Times New Roman" w:hAnsi="Times New Roman" w:cs="Times New Roman" w:hint="eastAsia"/>
          <w:sz w:val="28"/>
          <w:szCs w:val="28"/>
        </w:rPr>
        <w:t>2020.01-2022.12</w:t>
      </w:r>
      <w:r>
        <w:rPr>
          <w:rFonts w:ascii="楷体" w:eastAsia="楷体" w:hAnsi="楷体" w:cs="楷体" w:hint="eastAsia"/>
          <w:sz w:val="28"/>
          <w:szCs w:val="28"/>
        </w:rPr>
        <w:t>，</w:t>
      </w:r>
      <w:r>
        <w:rPr>
          <w:rFonts w:ascii="Times New Roman" w:hAnsi="Times New Roman" w:cs="Times New Roman" w:hint="eastAsia"/>
          <w:sz w:val="28"/>
          <w:szCs w:val="28"/>
        </w:rPr>
        <w:t>25</w:t>
      </w:r>
      <w:r>
        <w:rPr>
          <w:rFonts w:ascii="楷体" w:eastAsia="楷体" w:hAnsi="楷体" w:cs="楷体" w:hint="eastAsia"/>
          <w:sz w:val="28"/>
          <w:szCs w:val="28"/>
        </w:rPr>
        <w:t>万元，主持，已结题。</w:t>
      </w:r>
    </w:p>
    <w:p w14:paraId="47F926ED" w14:textId="77777777" w:rsidR="00B45BA3" w:rsidRDefault="00000000">
      <w:pPr>
        <w:spacing w:line="560" w:lineRule="exact"/>
        <w:ind w:leftChars="67" w:left="701" w:hangingChars="200" w:hanging="560"/>
        <w:rPr>
          <w:rFonts w:ascii="仿宋_GB2312" w:eastAsia="仿宋_GB2312" w:hAnsi="宋体" w:hint="eastAsia"/>
          <w:b/>
          <w:bCs/>
          <w:sz w:val="32"/>
          <w:szCs w:val="32"/>
        </w:rPr>
      </w:pPr>
      <w:r>
        <w:rPr>
          <w:rFonts w:ascii="Times New Roman" w:hAnsi="Times New Roman" w:cs="Times New Roman" w:hint="eastAsia"/>
          <w:sz w:val="28"/>
          <w:szCs w:val="28"/>
        </w:rPr>
        <w:t xml:space="preserve">[2] </w:t>
      </w:r>
      <w:r>
        <w:rPr>
          <w:rFonts w:ascii="楷体" w:eastAsia="楷体" w:hAnsi="楷体" w:cs="楷体" w:hint="eastAsia"/>
          <w:sz w:val="28"/>
          <w:szCs w:val="28"/>
        </w:rPr>
        <w:t>江西省自然科学基金青年项目</w:t>
      </w:r>
      <w:r>
        <w:rPr>
          <w:rFonts w:ascii="Times New Roman" w:hAnsi="Times New Roman" w:cs="Times New Roman" w:hint="eastAsia"/>
          <w:sz w:val="28"/>
          <w:szCs w:val="28"/>
        </w:rPr>
        <w:t>（</w:t>
      </w:r>
      <w:r>
        <w:rPr>
          <w:rFonts w:ascii="Times New Roman" w:hAnsi="Times New Roman" w:cs="Times New Roman"/>
          <w:sz w:val="28"/>
          <w:szCs w:val="28"/>
        </w:rPr>
        <w:t>20192BAB211004</w:t>
      </w:r>
      <w:r>
        <w:rPr>
          <w:rFonts w:ascii="Times New Roman" w:hAnsi="Times New Roman" w:cs="Times New Roman" w:hint="eastAsia"/>
          <w:sz w:val="28"/>
          <w:szCs w:val="28"/>
        </w:rPr>
        <w:t>）</w:t>
      </w:r>
      <w:r>
        <w:rPr>
          <w:rFonts w:ascii="楷体" w:eastAsia="楷体" w:hAnsi="楷体" w:cs="楷体" w:hint="eastAsia"/>
          <w:sz w:val="28"/>
          <w:szCs w:val="28"/>
        </w:rPr>
        <w:t>：广义</w:t>
      </w:r>
      <w:r>
        <w:rPr>
          <w:rFonts w:ascii="Times New Roman" w:hAnsi="Times New Roman" w:cs="Times New Roman"/>
          <w:sz w:val="28"/>
          <w:szCs w:val="28"/>
        </w:rPr>
        <w:t>Boussinesq-Burgers</w:t>
      </w:r>
      <w:r>
        <w:rPr>
          <w:rFonts w:ascii="楷体" w:eastAsia="楷体" w:hAnsi="楷体" w:cs="楷体" w:hint="eastAsia"/>
          <w:sz w:val="28"/>
          <w:szCs w:val="28"/>
        </w:rPr>
        <w:t>方程的定性研究，</w:t>
      </w:r>
      <w:r>
        <w:rPr>
          <w:rFonts w:ascii="Times New Roman" w:eastAsia="楷体" w:hAnsi="Times New Roman" w:cs="Times New Roman"/>
          <w:sz w:val="28"/>
          <w:szCs w:val="28"/>
        </w:rPr>
        <w:t>2019.01-2021.12</w:t>
      </w:r>
      <w:r>
        <w:rPr>
          <w:rFonts w:ascii="Times New Roman" w:eastAsia="楷体" w:hAnsi="Times New Roman" w:cs="Times New Roman" w:hint="eastAsia"/>
          <w:sz w:val="28"/>
          <w:szCs w:val="28"/>
        </w:rPr>
        <w:t>，</w:t>
      </w:r>
      <w:r>
        <w:rPr>
          <w:rFonts w:ascii="Times New Roman" w:eastAsia="楷体" w:hAnsi="Times New Roman" w:cs="Times New Roman"/>
          <w:sz w:val="28"/>
          <w:szCs w:val="28"/>
        </w:rPr>
        <w:t>6</w:t>
      </w:r>
      <w:r>
        <w:rPr>
          <w:rFonts w:ascii="楷体" w:eastAsia="楷体" w:hAnsi="楷体" w:cs="楷体" w:hint="eastAsia"/>
          <w:sz w:val="28"/>
          <w:szCs w:val="28"/>
        </w:rPr>
        <w:t>万元，主持，已结题。</w:t>
      </w:r>
    </w:p>
    <w:p w14:paraId="3C572FC2" w14:textId="77777777" w:rsidR="00B45BA3" w:rsidRDefault="00000000">
      <w:pPr>
        <w:spacing w:line="560" w:lineRule="exact"/>
        <w:ind w:left="643" w:hangingChars="200" w:hanging="643"/>
        <w:rPr>
          <w:rFonts w:ascii="仿宋_GB2312" w:eastAsia="仿宋_GB2312" w:hAnsi="宋体" w:hint="eastAsia"/>
          <w:b/>
          <w:bCs/>
          <w:sz w:val="32"/>
          <w:szCs w:val="32"/>
        </w:rPr>
      </w:pPr>
      <w:r>
        <w:rPr>
          <w:rFonts w:ascii="仿宋_GB2312" w:eastAsia="仿宋_GB2312" w:hAnsi="宋体" w:hint="eastAsia"/>
          <w:b/>
          <w:bCs/>
          <w:sz w:val="32"/>
          <w:szCs w:val="32"/>
        </w:rPr>
        <w:t>六、完成人</w:t>
      </w:r>
    </w:p>
    <w:p w14:paraId="77D00143" w14:textId="77777777" w:rsidR="00B45BA3" w:rsidRDefault="00000000">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朱能</w:t>
      </w:r>
    </w:p>
    <w:p w14:paraId="01CD54BD" w14:textId="77777777" w:rsidR="00B45BA3" w:rsidRDefault="00000000">
      <w:pPr>
        <w:spacing w:line="360" w:lineRule="auto"/>
        <w:ind w:firstLineChars="200" w:firstLine="562"/>
        <w:rPr>
          <w:rFonts w:ascii="楷体" w:eastAsia="楷体" w:hAnsi="楷体" w:cs="楷体" w:hint="eastAsia"/>
          <w:b/>
          <w:bCs/>
          <w:sz w:val="28"/>
          <w:szCs w:val="28"/>
        </w:rPr>
      </w:pPr>
      <w:r>
        <w:rPr>
          <w:rFonts w:ascii="楷体" w:eastAsia="楷体" w:hAnsi="楷体" w:cs="楷体" w:hint="eastAsia"/>
          <w:b/>
          <w:bCs/>
          <w:sz w:val="28"/>
          <w:szCs w:val="28"/>
        </w:rPr>
        <w:t>完成人情况：</w:t>
      </w:r>
    </w:p>
    <w:p w14:paraId="3D3891A1" w14:textId="77777777" w:rsidR="00B45BA3" w:rsidRDefault="00000000">
      <w:pPr>
        <w:spacing w:line="360" w:lineRule="auto"/>
        <w:ind w:leftChars="266" w:left="559" w:firstLineChars="200" w:firstLine="560"/>
        <w:rPr>
          <w:rFonts w:ascii="楷体" w:eastAsia="楷体" w:hAnsi="楷体" w:cs="楷体" w:hint="eastAsia"/>
          <w:sz w:val="28"/>
          <w:szCs w:val="28"/>
        </w:rPr>
      </w:pPr>
      <w:r>
        <w:rPr>
          <w:rFonts w:ascii="楷体" w:eastAsia="楷体" w:hAnsi="楷体" w:cs="楷体" w:hint="eastAsia"/>
          <w:sz w:val="28"/>
          <w:szCs w:val="28"/>
        </w:rPr>
        <w:t>朱能，男，1990年11月出生，于2018年6月获华南理工大学理学博士学位，归国人员（2016.9.1-2017.9.2美国杜兰大学联合培养博士）。现为南昌大学副教授、硕士生导师，南昌大学赣江青年学者，江西省学科学术与技术带头人（青年人才）。</w:t>
      </w:r>
    </w:p>
    <w:p w14:paraId="3E37A575" w14:textId="77777777" w:rsidR="00B45BA3" w:rsidRDefault="00000000">
      <w:pPr>
        <w:spacing w:line="360" w:lineRule="auto"/>
        <w:ind w:firstLineChars="200" w:firstLine="562"/>
        <w:rPr>
          <w:rFonts w:ascii="楷体" w:eastAsia="楷体" w:hAnsi="楷体" w:cs="楷体" w:hint="eastAsia"/>
          <w:sz w:val="28"/>
          <w:szCs w:val="28"/>
        </w:rPr>
      </w:pPr>
      <w:r>
        <w:rPr>
          <w:rFonts w:ascii="楷体" w:eastAsia="楷体" w:hAnsi="楷体" w:cs="楷体" w:hint="eastAsia"/>
          <w:b/>
          <w:bCs/>
          <w:sz w:val="28"/>
          <w:szCs w:val="28"/>
        </w:rPr>
        <w:t>项目排名</w:t>
      </w:r>
      <w:r>
        <w:rPr>
          <w:rFonts w:ascii="楷体" w:eastAsia="楷体" w:hAnsi="楷体" w:cs="楷体" w:hint="eastAsia"/>
          <w:sz w:val="28"/>
          <w:szCs w:val="28"/>
        </w:rPr>
        <w:t>：1/1。</w:t>
      </w:r>
    </w:p>
    <w:p w14:paraId="77D34D6C" w14:textId="77777777" w:rsidR="00B45BA3" w:rsidRDefault="00000000">
      <w:pPr>
        <w:spacing w:line="360" w:lineRule="auto"/>
        <w:ind w:firstLineChars="200" w:firstLine="562"/>
        <w:rPr>
          <w:rFonts w:ascii="楷体" w:eastAsia="楷体" w:hAnsi="楷体" w:cs="楷体" w:hint="eastAsia"/>
          <w:sz w:val="28"/>
          <w:szCs w:val="28"/>
        </w:rPr>
      </w:pPr>
      <w:r>
        <w:rPr>
          <w:rFonts w:ascii="楷体" w:eastAsia="楷体" w:hAnsi="楷体" w:cs="楷体" w:hint="eastAsia"/>
          <w:b/>
          <w:bCs/>
          <w:sz w:val="28"/>
          <w:szCs w:val="28"/>
        </w:rPr>
        <w:t>项目完成人工作单位：</w:t>
      </w:r>
      <w:r>
        <w:rPr>
          <w:rFonts w:ascii="楷体" w:eastAsia="楷体" w:hAnsi="楷体" w:cs="楷体" w:hint="eastAsia"/>
          <w:sz w:val="28"/>
          <w:szCs w:val="28"/>
        </w:rPr>
        <w:t>南昌大学。</w:t>
      </w:r>
    </w:p>
    <w:p w14:paraId="004E12DD" w14:textId="77777777" w:rsidR="00B45BA3" w:rsidRDefault="00000000">
      <w:pPr>
        <w:spacing w:line="360" w:lineRule="auto"/>
        <w:ind w:firstLineChars="200" w:firstLine="562"/>
        <w:rPr>
          <w:rFonts w:ascii="楷体" w:eastAsia="楷体" w:hAnsi="楷体" w:cs="楷体" w:hint="eastAsia"/>
          <w:sz w:val="28"/>
          <w:szCs w:val="28"/>
        </w:rPr>
      </w:pPr>
      <w:r>
        <w:rPr>
          <w:rFonts w:ascii="楷体" w:eastAsia="楷体" w:hAnsi="楷体" w:cs="楷体" w:hint="eastAsia"/>
          <w:b/>
          <w:bCs/>
          <w:sz w:val="28"/>
          <w:szCs w:val="28"/>
        </w:rPr>
        <w:t>项目完成单位：</w:t>
      </w:r>
      <w:r>
        <w:rPr>
          <w:rFonts w:ascii="楷体" w:eastAsia="楷体" w:hAnsi="楷体" w:cs="楷体" w:hint="eastAsia"/>
          <w:sz w:val="28"/>
          <w:szCs w:val="28"/>
        </w:rPr>
        <w:t>南昌大学。</w:t>
      </w:r>
    </w:p>
    <w:p w14:paraId="4E3647AE" w14:textId="77777777" w:rsidR="00B45BA3" w:rsidRDefault="00000000">
      <w:pPr>
        <w:spacing w:line="360" w:lineRule="auto"/>
        <w:ind w:leftChars="266" w:left="559"/>
        <w:rPr>
          <w:rFonts w:ascii="楷体" w:eastAsia="楷体" w:hAnsi="楷体" w:cs="楷体" w:hint="eastAsia"/>
          <w:sz w:val="28"/>
          <w:szCs w:val="28"/>
        </w:rPr>
      </w:pPr>
      <w:r>
        <w:rPr>
          <w:rFonts w:ascii="楷体" w:eastAsia="楷体" w:hAnsi="楷体" w:cs="楷体" w:hint="eastAsia"/>
          <w:b/>
          <w:bCs/>
          <w:sz w:val="28"/>
          <w:szCs w:val="28"/>
        </w:rPr>
        <w:t>对本项目主要学术贡献：</w:t>
      </w:r>
      <w:r>
        <w:rPr>
          <w:rFonts w:ascii="楷体" w:eastAsia="楷体" w:hAnsi="楷体" w:cs="楷体" w:hint="eastAsia"/>
          <w:sz w:val="28"/>
          <w:szCs w:val="28"/>
        </w:rPr>
        <w:t>项目负责人，主导核心关键技术攻关，对创新点（1）和（2）做出重要贡献，提出了一类带</w:t>
      </w:r>
      <w:r>
        <w:rPr>
          <w:rFonts w:ascii="Times New Roman" w:eastAsia="楷体" w:hAnsi="Times New Roman" w:cs="Times New Roman"/>
          <w:sz w:val="28"/>
          <w:szCs w:val="28"/>
        </w:rPr>
        <w:t>logarithmic</w:t>
      </w:r>
      <w:r>
        <w:rPr>
          <w:rFonts w:ascii="楷体" w:eastAsia="楷体" w:hAnsi="楷体" w:cs="楷体" w:hint="eastAsia"/>
          <w:sz w:val="28"/>
          <w:szCs w:val="28"/>
        </w:rPr>
        <w:t>灵敏度和非线性生长率的</w:t>
      </w:r>
      <w:r>
        <w:rPr>
          <w:rFonts w:ascii="Times New Roman" w:eastAsia="楷体" w:hAnsi="Times New Roman" w:cs="Times New Roman"/>
          <w:sz w:val="28"/>
          <w:szCs w:val="28"/>
        </w:rPr>
        <w:t>Keller-Segel</w:t>
      </w:r>
      <w:r>
        <w:rPr>
          <w:rFonts w:ascii="楷体" w:eastAsia="楷体" w:hAnsi="楷体" w:cs="楷体" w:hint="eastAsia"/>
          <w:sz w:val="28"/>
          <w:szCs w:val="28"/>
        </w:rPr>
        <w:t>型生物趋化模型和一类广义的非线性耗散-色散浅水波系统，获得系统的柯西问题大初值解的整体存在性、长时间渐近稳定性和扩散极限，将该成果分别发表在微分方程与动力系统的顶级期刊《</w:t>
      </w:r>
      <w:r>
        <w:rPr>
          <w:rFonts w:ascii="Times New Roman" w:eastAsia="楷体" w:hAnsi="Times New Roman" w:cs="Times New Roman"/>
          <w:sz w:val="28"/>
          <w:szCs w:val="28"/>
        </w:rPr>
        <w:t>SIAM Journal on Mathematical Analysis</w:t>
      </w:r>
      <w:r>
        <w:rPr>
          <w:rFonts w:ascii="楷体" w:eastAsia="楷体" w:hAnsi="楷体" w:cs="楷体" w:hint="eastAsia"/>
          <w:sz w:val="28"/>
          <w:szCs w:val="28"/>
        </w:rPr>
        <w:t>》杂志1篇、和《</w:t>
      </w:r>
      <w:r>
        <w:rPr>
          <w:rFonts w:ascii="Times New Roman" w:eastAsia="楷体" w:hAnsi="Times New Roman" w:cs="Times New Roman"/>
          <w:sz w:val="28"/>
          <w:szCs w:val="28"/>
        </w:rPr>
        <w:t>Physica D</w:t>
      </w:r>
      <w:r>
        <w:rPr>
          <w:rFonts w:ascii="楷体" w:eastAsia="楷体" w:hAnsi="楷体" w:cs="楷体" w:hint="eastAsia"/>
          <w:sz w:val="28"/>
          <w:szCs w:val="28"/>
        </w:rPr>
        <w:t>》、《</w:t>
      </w:r>
      <w:r>
        <w:rPr>
          <w:rFonts w:ascii="Times New Roman" w:eastAsia="楷体" w:hAnsi="Times New Roman" w:cs="Times New Roman"/>
          <w:sz w:val="28"/>
          <w:szCs w:val="28"/>
        </w:rPr>
        <w:t xml:space="preserve">Applied </w:t>
      </w:r>
      <w:r>
        <w:rPr>
          <w:rFonts w:ascii="Times New Roman" w:eastAsia="楷体" w:hAnsi="Times New Roman" w:cs="Times New Roman"/>
          <w:sz w:val="28"/>
          <w:szCs w:val="28"/>
        </w:rPr>
        <w:lastRenderedPageBreak/>
        <w:t>Mathematics Letters</w:t>
      </w:r>
      <w:r>
        <w:rPr>
          <w:rFonts w:ascii="楷体" w:eastAsia="楷体" w:hAnsi="楷体" w:cs="楷体" w:hint="eastAsia"/>
          <w:sz w:val="28"/>
          <w:szCs w:val="28"/>
        </w:rPr>
        <w:t>》、《</w:t>
      </w:r>
      <w:r>
        <w:rPr>
          <w:rFonts w:ascii="Times New Roman" w:eastAsia="楷体" w:hAnsi="Times New Roman" w:cs="Times New Roman"/>
          <w:sz w:val="28"/>
          <w:szCs w:val="28"/>
        </w:rPr>
        <w:t>Discrete and Continuous Dynamical Systems</w:t>
      </w:r>
      <w:r>
        <w:rPr>
          <w:rFonts w:ascii="楷体" w:eastAsia="楷体" w:hAnsi="楷体" w:cs="楷体" w:hint="eastAsia"/>
          <w:sz w:val="28"/>
          <w:szCs w:val="28"/>
        </w:rPr>
        <w:t>》等动力系统权威期刊3篇。</w:t>
      </w:r>
    </w:p>
    <w:p w14:paraId="1368BC2D" w14:textId="77777777" w:rsidR="00B45BA3" w:rsidRDefault="00B45BA3">
      <w:pPr>
        <w:spacing w:line="360" w:lineRule="auto"/>
        <w:ind w:firstLineChars="200" w:firstLine="560"/>
        <w:rPr>
          <w:rFonts w:ascii="楷体" w:eastAsia="楷体" w:hAnsi="楷体" w:cs="楷体" w:hint="eastAsia"/>
          <w:sz w:val="28"/>
          <w:szCs w:val="28"/>
        </w:rPr>
      </w:pPr>
    </w:p>
    <w:p w14:paraId="3407C3AB" w14:textId="77777777" w:rsidR="00B45BA3" w:rsidRDefault="00000000">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28EA4F3D" w14:textId="77777777" w:rsidR="00B45BA3" w:rsidRDefault="00000000">
      <w:pPr>
        <w:spacing w:line="360" w:lineRule="auto"/>
        <w:ind w:firstLineChars="200" w:firstLine="562"/>
        <w:rPr>
          <w:rFonts w:ascii="楷体" w:eastAsia="楷体" w:hAnsi="楷体" w:cs="楷体" w:hint="eastAsia"/>
          <w:sz w:val="28"/>
          <w:szCs w:val="28"/>
        </w:rPr>
      </w:pPr>
      <w:r>
        <w:rPr>
          <w:rFonts w:ascii="楷体" w:eastAsia="楷体" w:hAnsi="楷体" w:cs="楷体" w:hint="eastAsia"/>
          <w:b/>
          <w:bCs/>
          <w:sz w:val="28"/>
          <w:szCs w:val="28"/>
        </w:rPr>
        <w:t>完成单位：</w:t>
      </w:r>
      <w:r>
        <w:rPr>
          <w:rFonts w:ascii="楷体" w:eastAsia="楷体" w:hAnsi="楷体" w:cs="楷体" w:hint="eastAsia"/>
          <w:sz w:val="28"/>
          <w:szCs w:val="28"/>
        </w:rPr>
        <w:t>南昌大学</w:t>
      </w:r>
    </w:p>
    <w:p w14:paraId="3FEEA204" w14:textId="77777777" w:rsidR="00B45BA3" w:rsidRDefault="00000000">
      <w:pPr>
        <w:spacing w:line="360" w:lineRule="auto"/>
        <w:ind w:leftChars="266" w:left="559"/>
        <w:rPr>
          <w:rFonts w:ascii="楷体" w:eastAsia="楷体" w:hAnsi="楷体" w:cs="楷体" w:hint="eastAsia"/>
          <w:sz w:val="28"/>
          <w:szCs w:val="28"/>
        </w:rPr>
      </w:pPr>
      <w:r>
        <w:rPr>
          <w:rFonts w:ascii="楷体" w:eastAsia="楷体" w:hAnsi="楷体" w:cs="楷体" w:hint="eastAsia"/>
          <w:b/>
          <w:bCs/>
          <w:sz w:val="28"/>
          <w:szCs w:val="28"/>
        </w:rPr>
        <w:t>对本项目贡献</w:t>
      </w:r>
      <w:r>
        <w:rPr>
          <w:rFonts w:ascii="楷体" w:eastAsia="楷体" w:hAnsi="楷体" w:cs="楷体" w:hint="eastAsia"/>
          <w:sz w:val="28"/>
          <w:szCs w:val="28"/>
        </w:rPr>
        <w:t>：协助和指导项目负责人顺利完成该项目的制定、实施和总结等工作，以及代表性论文的修改和发表等过程。</w:t>
      </w:r>
    </w:p>
    <w:sectPr w:rsidR="00B45BA3">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12117" w14:textId="77777777" w:rsidR="003B1C95" w:rsidRDefault="003B1C95">
      <w:pPr>
        <w:rPr>
          <w:rFonts w:hint="eastAsia"/>
        </w:rPr>
      </w:pPr>
      <w:r>
        <w:separator/>
      </w:r>
    </w:p>
  </w:endnote>
  <w:endnote w:type="continuationSeparator" w:id="0">
    <w:p w14:paraId="0F92D1CB" w14:textId="77777777" w:rsidR="003B1C95" w:rsidRDefault="003B1C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44C7F2EF" w14:textId="77777777" w:rsidR="00B45BA3"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45BF8BD2" w14:textId="77777777" w:rsidR="00B45BA3" w:rsidRDefault="00B45BA3">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8DD74" w14:textId="77777777" w:rsidR="003B1C95" w:rsidRDefault="003B1C95">
      <w:pPr>
        <w:rPr>
          <w:rFonts w:hint="eastAsia"/>
        </w:rPr>
      </w:pPr>
      <w:r>
        <w:separator/>
      </w:r>
    </w:p>
  </w:footnote>
  <w:footnote w:type="continuationSeparator" w:id="0">
    <w:p w14:paraId="67F428BF" w14:textId="77777777" w:rsidR="003B1C95" w:rsidRDefault="003B1C9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4589F1"/>
    <w:multiLevelType w:val="singleLevel"/>
    <w:tmpl w:val="984589F1"/>
    <w:lvl w:ilvl="0">
      <w:start w:val="1"/>
      <w:numFmt w:val="decimal"/>
      <w:suff w:val="nothing"/>
      <w:lvlText w:val="（%1）"/>
      <w:lvlJc w:val="left"/>
    </w:lvl>
  </w:abstractNum>
  <w:abstractNum w:abstractNumId="1" w15:restartNumberingAfterBreak="0">
    <w:nsid w:val="235CF1AA"/>
    <w:multiLevelType w:val="singleLevel"/>
    <w:tmpl w:val="235CF1AA"/>
    <w:lvl w:ilvl="0">
      <w:start w:val="1"/>
      <w:numFmt w:val="chineseCounting"/>
      <w:suff w:val="nothing"/>
      <w:lvlText w:val="%1、"/>
      <w:lvlJc w:val="left"/>
      <w:rPr>
        <w:rFonts w:hint="eastAsia"/>
      </w:rPr>
    </w:lvl>
  </w:abstractNum>
  <w:num w:numId="1" w16cid:durableId="999309421">
    <w:abstractNumId w:val="1"/>
  </w:num>
  <w:num w:numId="2" w16cid:durableId="126793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154364"/>
    <w:rsid w:val="00194E22"/>
    <w:rsid w:val="002763E6"/>
    <w:rsid w:val="002E0928"/>
    <w:rsid w:val="002F0F5D"/>
    <w:rsid w:val="00302720"/>
    <w:rsid w:val="003B1C95"/>
    <w:rsid w:val="004532AC"/>
    <w:rsid w:val="004F096D"/>
    <w:rsid w:val="00522627"/>
    <w:rsid w:val="00577CF9"/>
    <w:rsid w:val="005B724F"/>
    <w:rsid w:val="005F5F9F"/>
    <w:rsid w:val="006515EA"/>
    <w:rsid w:val="006A2F7D"/>
    <w:rsid w:val="007609CD"/>
    <w:rsid w:val="007B4AAF"/>
    <w:rsid w:val="00874336"/>
    <w:rsid w:val="0087531C"/>
    <w:rsid w:val="00927936"/>
    <w:rsid w:val="00A2254C"/>
    <w:rsid w:val="00B131C6"/>
    <w:rsid w:val="00B45BA3"/>
    <w:rsid w:val="00CB6DA2"/>
    <w:rsid w:val="00CE5ADA"/>
    <w:rsid w:val="00DD6C3E"/>
    <w:rsid w:val="00E6492D"/>
    <w:rsid w:val="00EE79B5"/>
    <w:rsid w:val="01650689"/>
    <w:rsid w:val="12C37D52"/>
    <w:rsid w:val="198A6251"/>
    <w:rsid w:val="1B353A7B"/>
    <w:rsid w:val="36196E2E"/>
    <w:rsid w:val="39F11238"/>
    <w:rsid w:val="418331C2"/>
    <w:rsid w:val="4E385BF0"/>
    <w:rsid w:val="4F9C0D52"/>
    <w:rsid w:val="5F92545E"/>
    <w:rsid w:val="6179516A"/>
    <w:rsid w:val="6273565B"/>
    <w:rsid w:val="63DF4BAA"/>
    <w:rsid w:val="6E346B8E"/>
    <w:rsid w:val="7A6376BF"/>
    <w:rsid w:val="7DF7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9CE18"/>
  <w15:docId w15:val="{231F85AE-EF5A-4727-B8AD-2F0570904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15</cp:revision>
  <dcterms:created xsi:type="dcterms:W3CDTF">2024-11-26T08:37:00Z</dcterms:created>
  <dcterms:modified xsi:type="dcterms:W3CDTF">2024-12-15T13:03:00Z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2592079D6531432882D02B44CDF23FA3_13</vt:lpwstr>
  </property>
</Properties>
</file>