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77777777" w:rsidR="006444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一、项目名称</w:t>
      </w:r>
    </w:p>
    <w:p w14:paraId="7FC5D667" w14:textId="77777777" w:rsidR="00644416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资源循环系统排放测评、轨迹追踪与网络调控方法</w:t>
      </w:r>
    </w:p>
    <w:p w14:paraId="63D6F99B" w14:textId="77777777" w:rsidR="006444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二、提名单位（或专家）、奖种与等级</w:t>
      </w:r>
    </w:p>
    <w:p w14:paraId="37D78E06" w14:textId="79C16389" w:rsidR="00644416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江西省教育厅，江西省自然科学奖一等奖</w:t>
      </w:r>
    </w:p>
    <w:p w14:paraId="645F34FE" w14:textId="77777777" w:rsidR="006444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三、提名意见</w:t>
      </w:r>
    </w:p>
    <w:p w14:paraId="7D01BEEE" w14:textId="7C57DFB2" w:rsidR="00644416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该项目聚焦于</w:t>
      </w:r>
      <w:r>
        <w:rPr>
          <w:rFonts w:ascii="仿宋_GB2312" w:eastAsia="仿宋_GB2312" w:hAnsi="宋体" w:hint="eastAsia"/>
          <w:sz w:val="32"/>
          <w:szCs w:val="32"/>
        </w:rPr>
        <w:t>再生</w:t>
      </w:r>
      <w:r>
        <w:rPr>
          <w:rFonts w:ascii="仿宋_GB2312" w:eastAsia="仿宋_GB2312" w:hAnsi="宋体"/>
          <w:sz w:val="32"/>
          <w:szCs w:val="32"/>
        </w:rPr>
        <w:t>资源循环</w:t>
      </w:r>
      <w:r>
        <w:rPr>
          <w:rFonts w:ascii="仿宋_GB2312" w:eastAsia="仿宋_GB2312" w:hAnsi="宋体" w:hint="eastAsia"/>
          <w:sz w:val="32"/>
          <w:szCs w:val="32"/>
        </w:rPr>
        <w:t>利用的</w:t>
      </w:r>
      <w:r>
        <w:rPr>
          <w:rFonts w:ascii="仿宋_GB2312" w:eastAsia="仿宋_GB2312" w:hAnsi="宋体"/>
          <w:sz w:val="32"/>
          <w:szCs w:val="32"/>
        </w:rPr>
        <w:t>研究，通过建立系统的理论框架和技术体系，解决了资源循环系统中多个复杂科学问题，推动了再生资源行业的绿色可持续发展。</w:t>
      </w:r>
      <w:r>
        <w:rPr>
          <w:rFonts w:ascii="仿宋_GB2312" w:eastAsia="仿宋_GB2312" w:hAnsi="宋体" w:hint="eastAsia"/>
          <w:sz w:val="32"/>
          <w:szCs w:val="32"/>
        </w:rPr>
        <w:t>通过</w:t>
      </w:r>
      <w:r>
        <w:rPr>
          <w:rFonts w:ascii="仿宋_GB2312" w:eastAsia="仿宋_GB2312" w:hAnsi="宋体"/>
          <w:sz w:val="32"/>
          <w:szCs w:val="32"/>
        </w:rPr>
        <w:t>研究资源循环系统中的排放评估、物流轨迹追踪以及网络调控方法，提出了创新性的解决方案。</w:t>
      </w:r>
      <w:r>
        <w:rPr>
          <w:rFonts w:ascii="仿宋_GB2312" w:eastAsia="仿宋_GB2312" w:hAnsi="宋体" w:hint="eastAsia"/>
          <w:sz w:val="32"/>
          <w:szCs w:val="32"/>
        </w:rPr>
        <w:t>相关研究成果已经在国内外权威期刊上发表了3</w:t>
      </w:r>
      <w:r>
        <w:rPr>
          <w:rFonts w:ascii="仿宋_GB2312" w:eastAsia="仿宋_GB2312" w:hAnsi="宋体"/>
          <w:sz w:val="32"/>
          <w:szCs w:val="32"/>
        </w:rPr>
        <w:t>0</w:t>
      </w:r>
      <w:r>
        <w:rPr>
          <w:rFonts w:ascii="仿宋_GB2312" w:eastAsia="仿宋_GB2312" w:hAnsi="宋体" w:hint="eastAsia"/>
          <w:sz w:val="32"/>
          <w:szCs w:val="32"/>
        </w:rPr>
        <w:t>余篇高水平论文，其中</w:t>
      </w: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篇代表性论文均发表在国际知名学术期刊上</w:t>
      </w:r>
      <w:r>
        <w:rPr>
          <w:rFonts w:ascii="仿宋_GB2312" w:eastAsia="仿宋_GB2312" w:hAnsi="宋体"/>
          <w:sz w:val="32"/>
          <w:szCs w:val="32"/>
        </w:rPr>
        <w:t>。</w:t>
      </w:r>
    </w:p>
    <w:p w14:paraId="5975DCF5" w14:textId="77777777" w:rsidR="006444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四、项目简介</w:t>
      </w:r>
    </w:p>
    <w:p w14:paraId="11BD1AF7" w14:textId="77777777" w:rsidR="00644416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本项目属于环境工程领域，特别是侧重于再生资源绿色低碳循环利用的理论与方法，旨在解决资源回收利用中的“减污降碳”问题，促进可持续发展。</w:t>
      </w:r>
    </w:p>
    <w:p w14:paraId="5C54CE78" w14:textId="77777777" w:rsidR="00644416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针对再生资源回收行业存在的高污染与碳排放问题，从回收（节点）、流转（轨迹）、区域（网络）三个尺度入手，构建了再生资源循环系统的建模与减排调控方法：（</w:t>
      </w:r>
      <w:r>
        <w:rPr>
          <w:rFonts w:ascii="仿宋_GB2312" w:eastAsia="仿宋_GB2312" w:hAnsi="宋体"/>
          <w:sz w:val="32"/>
          <w:szCs w:val="32"/>
        </w:rPr>
        <w:t>1）在绿色技术组合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节点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尺度，构建了</w:t>
      </w:r>
      <w:r>
        <w:rPr>
          <w:rFonts w:ascii="仿宋_GB2312" w:eastAsia="仿宋_GB2312" w:hAnsi="宋体" w:hint="eastAsia"/>
          <w:sz w:val="32"/>
          <w:szCs w:val="32"/>
        </w:rPr>
        <w:t>分产业排放的高质量数据库</w:t>
      </w:r>
      <w:r>
        <w:rPr>
          <w:rFonts w:ascii="仿宋_GB2312" w:eastAsia="仿宋_GB2312" w:hAnsi="宋体"/>
          <w:sz w:val="32"/>
          <w:szCs w:val="32"/>
        </w:rPr>
        <w:t>；（2）在资源全生命周期循环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轨迹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尺度，开发了改进了再生资源收运流转轨迹追踪</w:t>
      </w:r>
      <w:r>
        <w:rPr>
          <w:rFonts w:ascii="仿宋_GB2312" w:eastAsia="仿宋_GB2312" w:hAnsi="宋体" w:hint="eastAsia"/>
          <w:sz w:val="32"/>
          <w:szCs w:val="32"/>
        </w:rPr>
        <w:t>模型</w:t>
      </w:r>
      <w:r>
        <w:rPr>
          <w:rFonts w:ascii="仿宋_GB2312" w:eastAsia="仿宋_GB2312" w:hAnsi="宋体"/>
          <w:sz w:val="32"/>
          <w:szCs w:val="32"/>
        </w:rPr>
        <w:t>方法；（3）在跨区域物质流转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网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尺度，基于异质多智能体的废弃物跨区域循环模型，开发了再生资源跨区域协同循环仿真系统。此外，开发</w:t>
      </w:r>
      <w:r>
        <w:rPr>
          <w:rFonts w:ascii="仿宋_GB2312" w:eastAsia="仿宋_GB2312" w:hAnsi="宋体"/>
          <w:sz w:val="32"/>
          <w:szCs w:val="32"/>
        </w:rPr>
        <w:lastRenderedPageBreak/>
        <w:t>了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排放数据库-</w:t>
      </w:r>
      <w:r>
        <w:rPr>
          <w:rFonts w:ascii="仿宋_GB2312" w:eastAsia="仿宋_GB2312" w:hAnsi="宋体" w:hint="eastAsia"/>
          <w:sz w:val="32"/>
          <w:szCs w:val="32"/>
        </w:rPr>
        <w:t>模拟仿真</w:t>
      </w:r>
      <w:r>
        <w:rPr>
          <w:rFonts w:ascii="仿宋_GB2312" w:eastAsia="仿宋_GB2312" w:hAnsi="宋体"/>
          <w:sz w:val="32"/>
          <w:szCs w:val="32"/>
        </w:rPr>
        <w:t>-调控实验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等工具集成，并应用于电池回收的重点企业、协会联盟、行业主管部门等对象。</w:t>
      </w:r>
    </w:p>
    <w:p w14:paraId="70FC1FFD" w14:textId="77777777" w:rsidR="00644416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申请人从“企业（节点）</w:t>
      </w:r>
      <w:r>
        <w:rPr>
          <w:rFonts w:ascii="仿宋_GB2312" w:eastAsia="仿宋_GB2312" w:hAnsi="宋体"/>
          <w:sz w:val="32"/>
          <w:szCs w:val="32"/>
        </w:rPr>
        <w:t>-流转（轨迹）-区域（网络）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视角，并完成了有效地测度、追踪、调控所需解决的科学问题：</w:t>
      </w:r>
      <w:r>
        <w:rPr>
          <w:rFonts w:ascii="仿宋_GB2312" w:eastAsia="仿宋_GB2312" w:hAnsi="宋体"/>
          <w:sz w:val="32"/>
          <w:szCs w:val="32"/>
        </w:rPr>
        <w:t>①</w:t>
      </w:r>
      <w:r>
        <w:rPr>
          <w:rFonts w:ascii="仿宋_GB2312" w:eastAsia="仿宋_GB2312" w:hAnsi="宋体"/>
          <w:sz w:val="32"/>
          <w:szCs w:val="32"/>
        </w:rPr>
        <w:t>改进环境影响测评中的规则模型及高质量数据库，规范了循环系统的排放责任分配方案；</w:t>
      </w:r>
      <w:r>
        <w:rPr>
          <w:rFonts w:ascii="仿宋_GB2312" w:eastAsia="仿宋_GB2312" w:hAnsi="宋体"/>
          <w:sz w:val="32"/>
          <w:szCs w:val="32"/>
        </w:rPr>
        <w:t>②</w:t>
      </w:r>
      <w:r>
        <w:rPr>
          <w:rFonts w:ascii="仿宋_GB2312" w:eastAsia="仿宋_GB2312" w:hAnsi="宋体"/>
          <w:sz w:val="32"/>
          <w:szCs w:val="32"/>
        </w:rPr>
        <w:t>城市固废流转轨迹追踪中的多尺度全环节监测，支撑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产生-收集-转运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三级回收网络；</w:t>
      </w:r>
      <w:r>
        <w:rPr>
          <w:rFonts w:ascii="仿宋_GB2312" w:eastAsia="仿宋_GB2312" w:hAnsi="宋体"/>
          <w:sz w:val="32"/>
          <w:szCs w:val="32"/>
        </w:rPr>
        <w:t>③</w:t>
      </w:r>
      <w:r>
        <w:rPr>
          <w:rFonts w:ascii="仿宋_GB2312" w:eastAsia="仿宋_GB2312" w:hAnsi="宋体"/>
          <w:sz w:val="32"/>
          <w:szCs w:val="32"/>
        </w:rPr>
        <w:t>循环网络仿真中的跨区异质主体群连锁反馈机制。此外，比照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资源诅咒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理论，提出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再生资源诅咒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效应，并揭示其在再生资源回收企业中的产生机理和传导机制。</w:t>
      </w:r>
    </w:p>
    <w:p w14:paraId="56FFBBE8" w14:textId="77777777" w:rsidR="00644416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项目的科学价值体现在以下三个方面：一是为再生资源产业的绿色转型提供了理论基础和技术支持；二是通过开发的模型与工具集，为政策制定者提供了有效的决策支持，帮助他们设计更合理的调控政策；三是通过量化分析和仿真模拟，为理解再生资源回收中的环境问题提供了新的视角，促进了该领域的学术进步。</w:t>
      </w:r>
    </w:p>
    <w:p w14:paraId="4F7D8AF5" w14:textId="77777777" w:rsidR="006444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五、</w:t>
      </w:r>
      <w:r>
        <w:rPr>
          <w:rFonts w:ascii="仿宋_GB2312" w:eastAsia="仿宋_GB2312" w:hAnsi="宋体"/>
          <w:b/>
          <w:bCs/>
          <w:sz w:val="32"/>
          <w:szCs w:val="32"/>
        </w:rPr>
        <w:t>代表性科技成果</w:t>
      </w:r>
    </w:p>
    <w:p w14:paraId="4B48E434" w14:textId="77777777" w:rsidR="00644416" w:rsidRDefault="00000000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24"/>
          <w:szCs w:val="24"/>
        </w:rPr>
      </w:pPr>
      <w:r>
        <w:rPr>
          <w:rFonts w:ascii="Times New Roman" w:eastAsia="黑体" w:hAnsi="Times New Roman" w:cs="Times New Roman" w:hint="eastAsia"/>
          <w:bCs/>
          <w:sz w:val="24"/>
          <w:szCs w:val="24"/>
        </w:rPr>
        <w:t>代表性论文专著</w:t>
      </w:r>
      <w:r>
        <w:rPr>
          <w:rFonts w:ascii="Times New Roman" w:eastAsia="黑体" w:hAnsi="Times New Roman" w:cs="Times New Roman"/>
          <w:bCs/>
          <w:sz w:val="24"/>
          <w:szCs w:val="24"/>
        </w:rPr>
        <w:t>目录</w:t>
      </w:r>
    </w:p>
    <w:tbl>
      <w:tblPr>
        <w:tblW w:w="9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211"/>
        <w:gridCol w:w="1077"/>
        <w:gridCol w:w="708"/>
        <w:gridCol w:w="851"/>
        <w:gridCol w:w="850"/>
        <w:gridCol w:w="850"/>
        <w:gridCol w:w="680"/>
        <w:gridCol w:w="907"/>
        <w:gridCol w:w="675"/>
      </w:tblGrid>
      <w:tr w:rsidR="00644416" w14:paraId="643FC541" w14:textId="77777777">
        <w:trPr>
          <w:trHeight w:val="929"/>
          <w:jc w:val="center"/>
        </w:trPr>
        <w:tc>
          <w:tcPr>
            <w:tcW w:w="397" w:type="dxa"/>
            <w:vAlign w:val="center"/>
          </w:tcPr>
          <w:p w14:paraId="39D767AD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211" w:type="dxa"/>
            <w:vAlign w:val="center"/>
          </w:tcPr>
          <w:p w14:paraId="17B12DB8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color w:val="000000"/>
                <w:sz w:val="21"/>
                <w:szCs w:val="21"/>
              </w:rPr>
              <w:t>论文（专著）名称/刊名</w:t>
            </w:r>
          </w:p>
        </w:tc>
        <w:tc>
          <w:tcPr>
            <w:tcW w:w="1077" w:type="dxa"/>
            <w:vAlign w:val="center"/>
          </w:tcPr>
          <w:p w14:paraId="0333A578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color w:val="000000"/>
                <w:sz w:val="21"/>
                <w:szCs w:val="21"/>
              </w:rPr>
              <w:t>作者（按发表顺序）</w:t>
            </w:r>
          </w:p>
        </w:tc>
        <w:tc>
          <w:tcPr>
            <w:tcW w:w="708" w:type="dxa"/>
            <w:vAlign w:val="center"/>
          </w:tcPr>
          <w:p w14:paraId="40B8194B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sz w:val="21"/>
                <w:szCs w:val="21"/>
              </w:rPr>
              <w:t>年卷页码（</w:t>
            </w:r>
            <w:r>
              <w:rPr>
                <w:rFonts w:ascii="Times New Roman" w:eastAsia="仿宋_GB2312" w:hAnsi="Times New Roman"/>
                <w:sz w:val="21"/>
                <w:szCs w:val="21"/>
              </w:rPr>
              <w:t>××</w:t>
            </w:r>
            <w:r>
              <w:rPr>
                <w:rFonts w:eastAsia="仿宋_GB2312" w:hAnsi="Times New Roman" w:hint="eastAsia"/>
                <w:sz w:val="21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1"/>
                <w:szCs w:val="21"/>
              </w:rPr>
              <w:t>××</w:t>
            </w:r>
            <w:r>
              <w:rPr>
                <w:rFonts w:ascii="Times New Roman" w:eastAsia="仿宋_GB2312" w:hAnsi="Times New Roman"/>
                <w:sz w:val="21"/>
                <w:szCs w:val="21"/>
              </w:rPr>
              <w:t>卷</w:t>
            </w:r>
            <w:r>
              <w:rPr>
                <w:rFonts w:ascii="Times New Roman" w:eastAsia="仿宋_GB2312" w:hAnsi="Times New Roman"/>
                <w:sz w:val="21"/>
                <w:szCs w:val="21"/>
              </w:rPr>
              <w:t>××</w:t>
            </w:r>
            <w:r>
              <w:rPr>
                <w:rFonts w:eastAsia="仿宋_GB2312" w:hAnsi="Times New Roman" w:hint="eastAsia"/>
                <w:sz w:val="21"/>
                <w:szCs w:val="21"/>
              </w:rPr>
              <w:t>页）</w:t>
            </w:r>
          </w:p>
        </w:tc>
        <w:tc>
          <w:tcPr>
            <w:tcW w:w="851" w:type="dxa"/>
            <w:vAlign w:val="center"/>
          </w:tcPr>
          <w:p w14:paraId="71AF2FD4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color w:val="000000"/>
                <w:sz w:val="21"/>
                <w:szCs w:val="21"/>
              </w:rPr>
              <w:t>发表时间</w:t>
            </w:r>
            <w:r>
              <w:rPr>
                <w:rFonts w:eastAsia="仿宋_GB2312" w:hAnsi="Times New Roman" w:hint="eastAsia"/>
                <w:spacing w:val="-20"/>
                <w:sz w:val="21"/>
                <w:szCs w:val="21"/>
              </w:rPr>
              <w:t>（年月日）</w:t>
            </w:r>
          </w:p>
        </w:tc>
        <w:tc>
          <w:tcPr>
            <w:tcW w:w="850" w:type="dxa"/>
            <w:vAlign w:val="center"/>
          </w:tcPr>
          <w:p w14:paraId="68CAD332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color w:val="000000"/>
                <w:sz w:val="21"/>
                <w:szCs w:val="21"/>
              </w:rPr>
              <w:t>通讯作者（含共同）</w:t>
            </w:r>
          </w:p>
        </w:tc>
        <w:tc>
          <w:tcPr>
            <w:tcW w:w="850" w:type="dxa"/>
            <w:vAlign w:val="center"/>
          </w:tcPr>
          <w:p w14:paraId="481516AE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color w:val="000000"/>
                <w:sz w:val="21"/>
                <w:szCs w:val="21"/>
              </w:rPr>
              <w:t>第一作者（含共同）</w:t>
            </w:r>
          </w:p>
        </w:tc>
        <w:tc>
          <w:tcPr>
            <w:tcW w:w="680" w:type="dxa"/>
            <w:vAlign w:val="center"/>
          </w:tcPr>
          <w:p w14:paraId="241F6471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sz w:val="21"/>
                <w:szCs w:val="21"/>
              </w:rPr>
              <w:t>他引总次数</w:t>
            </w:r>
          </w:p>
        </w:tc>
        <w:tc>
          <w:tcPr>
            <w:tcW w:w="907" w:type="dxa"/>
            <w:vAlign w:val="center"/>
          </w:tcPr>
          <w:p w14:paraId="71D4FEC4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sz w:val="21"/>
                <w:szCs w:val="21"/>
              </w:rPr>
              <w:t>检索数据库</w:t>
            </w:r>
          </w:p>
        </w:tc>
        <w:tc>
          <w:tcPr>
            <w:tcW w:w="675" w:type="dxa"/>
            <w:vAlign w:val="center"/>
          </w:tcPr>
          <w:p w14:paraId="133E9DFE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eastAsia="仿宋_GB2312" w:hAnsi="Times New Roman" w:hint="eastAsia"/>
                <w:sz w:val="21"/>
                <w:szCs w:val="21"/>
              </w:rPr>
              <w:t>第一署名单位是否</w:t>
            </w:r>
            <w:r>
              <w:rPr>
                <w:rFonts w:eastAsia="仿宋_GB2312" w:hint="eastAsia"/>
                <w:sz w:val="21"/>
                <w:szCs w:val="21"/>
              </w:rPr>
              <w:t>在赣</w:t>
            </w:r>
            <w:r>
              <w:rPr>
                <w:rFonts w:eastAsia="仿宋_GB2312" w:hAnsi="Times New Roman" w:hint="eastAsia"/>
                <w:sz w:val="21"/>
                <w:szCs w:val="21"/>
              </w:rPr>
              <w:t>单位</w:t>
            </w:r>
          </w:p>
        </w:tc>
      </w:tr>
      <w:tr w:rsidR="00644416" w14:paraId="58636119" w14:textId="77777777">
        <w:trPr>
          <w:trHeight w:val="690"/>
          <w:jc w:val="center"/>
        </w:trPr>
        <w:tc>
          <w:tcPr>
            <w:tcW w:w="397" w:type="dxa"/>
            <w:vAlign w:val="center"/>
          </w:tcPr>
          <w:p w14:paraId="7D7F405A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11" w:type="dxa"/>
            <w:vAlign w:val="center"/>
          </w:tcPr>
          <w:p w14:paraId="15D4B28F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Secondary resource curse's formation and transmission mechanism based on environmental externality theory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（基于环境外部性理论的再生资源诅咒形成与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lastRenderedPageBreak/>
              <w:t>传导机制）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/ Resources, Conservation and Recycling</w:t>
            </w:r>
          </w:p>
        </w:tc>
        <w:tc>
          <w:tcPr>
            <w:tcW w:w="1077" w:type="dxa"/>
            <w:vAlign w:val="center"/>
          </w:tcPr>
          <w:p w14:paraId="1BD2E727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lastRenderedPageBreak/>
              <w:t>Tian Xi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（田西）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Gao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Wenwen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（高文雯）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Liu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Yaobin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lastRenderedPageBreak/>
              <w:t>（刘耀彬）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, Xu Ming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（徐明）</w:t>
            </w:r>
          </w:p>
        </w:tc>
        <w:tc>
          <w:tcPr>
            <w:tcW w:w="708" w:type="dxa"/>
            <w:vAlign w:val="center"/>
          </w:tcPr>
          <w:p w14:paraId="04FA766C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lastRenderedPageBreak/>
              <w:t>2020,161,104958</w:t>
            </w:r>
          </w:p>
        </w:tc>
        <w:tc>
          <w:tcPr>
            <w:tcW w:w="851" w:type="dxa"/>
            <w:vAlign w:val="center"/>
          </w:tcPr>
          <w:p w14:paraId="179DCA01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2020.5.7 </w:t>
            </w:r>
          </w:p>
        </w:tc>
        <w:tc>
          <w:tcPr>
            <w:tcW w:w="850" w:type="dxa"/>
            <w:vAlign w:val="center"/>
          </w:tcPr>
          <w:p w14:paraId="1B5B47C1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刘耀彬</w:t>
            </w:r>
          </w:p>
        </w:tc>
        <w:tc>
          <w:tcPr>
            <w:tcW w:w="850" w:type="dxa"/>
            <w:vAlign w:val="center"/>
          </w:tcPr>
          <w:p w14:paraId="17DC8438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田西</w:t>
            </w:r>
          </w:p>
        </w:tc>
        <w:tc>
          <w:tcPr>
            <w:tcW w:w="680" w:type="dxa"/>
            <w:vAlign w:val="center"/>
          </w:tcPr>
          <w:p w14:paraId="05D9AC20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14:paraId="57296DE6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Web of Science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数据库</w:t>
            </w:r>
          </w:p>
        </w:tc>
        <w:tc>
          <w:tcPr>
            <w:tcW w:w="675" w:type="dxa"/>
            <w:vAlign w:val="center"/>
          </w:tcPr>
          <w:p w14:paraId="6B69E42C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644416" w14:paraId="1E2FDC2F" w14:textId="77777777">
        <w:trPr>
          <w:trHeight w:val="690"/>
          <w:jc w:val="center"/>
        </w:trPr>
        <w:tc>
          <w:tcPr>
            <w:tcW w:w="397" w:type="dxa"/>
            <w:vAlign w:val="center"/>
          </w:tcPr>
          <w:p w14:paraId="7790D252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11" w:type="dxa"/>
            <w:vAlign w:val="center"/>
          </w:tcPr>
          <w:p w14:paraId="09E1969E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Chinese environmentally extended input-output database for 2017 and 2018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2017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年和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2018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年中国环境扩展投入产出数据库）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/ Scientific Data</w:t>
            </w:r>
          </w:p>
        </w:tc>
        <w:tc>
          <w:tcPr>
            <w:tcW w:w="1077" w:type="dxa"/>
            <w:vAlign w:val="center"/>
          </w:tcPr>
          <w:p w14:paraId="2E5BE492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Tian Xi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（田西）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Liu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Yiwei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（刘</w:t>
            </w:r>
            <w:r>
              <w:rPr>
                <w:rFonts w:ascii="仿宋" w:eastAsia="仿宋" w:hAnsi="仿宋" w:cs="微软雅黑" w:hint="eastAsia"/>
                <w:color w:val="000000"/>
                <w:sz w:val="21"/>
                <w:szCs w:val="21"/>
              </w:rPr>
              <w:t>祎</w:t>
            </w:r>
            <w:r>
              <w:rPr>
                <w:rFonts w:eastAsia="仿宋_GB2312" w:hAnsi="仿宋_GB2312" w:cs="仿宋_GB2312" w:hint="eastAsia"/>
                <w:color w:val="000000"/>
                <w:sz w:val="21"/>
                <w:szCs w:val="21"/>
              </w:rPr>
              <w:t>伟）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, Xu Ming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（徐明）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, Liang Sai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（梁赛）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Liu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Yaobin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（刘耀彬）</w:t>
            </w:r>
          </w:p>
        </w:tc>
        <w:tc>
          <w:tcPr>
            <w:tcW w:w="708" w:type="dxa"/>
            <w:vAlign w:val="center"/>
          </w:tcPr>
          <w:p w14:paraId="165C7F39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2021,8,256</w:t>
            </w:r>
          </w:p>
        </w:tc>
        <w:tc>
          <w:tcPr>
            <w:tcW w:w="851" w:type="dxa"/>
            <w:vAlign w:val="center"/>
          </w:tcPr>
          <w:p w14:paraId="75895A70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2021.9.30</w:t>
            </w:r>
          </w:p>
        </w:tc>
        <w:tc>
          <w:tcPr>
            <w:tcW w:w="850" w:type="dxa"/>
            <w:vAlign w:val="center"/>
          </w:tcPr>
          <w:p w14:paraId="315F6563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徐明</w:t>
            </w:r>
          </w:p>
        </w:tc>
        <w:tc>
          <w:tcPr>
            <w:tcW w:w="850" w:type="dxa"/>
            <w:vAlign w:val="center"/>
          </w:tcPr>
          <w:p w14:paraId="33C1539E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田西</w:t>
            </w:r>
          </w:p>
        </w:tc>
        <w:tc>
          <w:tcPr>
            <w:tcW w:w="680" w:type="dxa"/>
            <w:vAlign w:val="center"/>
          </w:tcPr>
          <w:p w14:paraId="29242661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907" w:type="dxa"/>
            <w:vAlign w:val="center"/>
          </w:tcPr>
          <w:p w14:paraId="19E7EBF0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Web of Science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数据库</w:t>
            </w:r>
          </w:p>
        </w:tc>
        <w:tc>
          <w:tcPr>
            <w:tcW w:w="675" w:type="dxa"/>
            <w:vAlign w:val="center"/>
          </w:tcPr>
          <w:p w14:paraId="715327EE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644416" w14:paraId="004EAF4B" w14:textId="77777777">
        <w:trPr>
          <w:trHeight w:val="690"/>
          <w:jc w:val="center"/>
        </w:trPr>
        <w:tc>
          <w:tcPr>
            <w:tcW w:w="397" w:type="dxa"/>
            <w:vAlign w:val="center"/>
          </w:tcPr>
          <w:p w14:paraId="2D1EC154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11" w:type="dxa"/>
            <w:vAlign w:val="center"/>
          </w:tcPr>
          <w:p w14:paraId="0FEB8D95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Impact of China</w:t>
            </w: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’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s waste import policy on the scrap copper recovery pattern and environmental benefits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（中国废物进口政策对废铜回收模式和环境效益的影响）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/ Waste Management</w:t>
            </w:r>
          </w:p>
        </w:tc>
        <w:tc>
          <w:tcPr>
            <w:tcW w:w="1077" w:type="dxa"/>
            <w:vAlign w:val="center"/>
          </w:tcPr>
          <w:p w14:paraId="5AA34D57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Tian Xi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（田西）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Zheng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Jianxiang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（郑健祥）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, Hu Lei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（胡雷）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, Liu Yi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（刘</w:t>
            </w:r>
            <w:r>
              <w:rPr>
                <w:rFonts w:ascii="仿宋" w:eastAsia="仿宋" w:hAnsi="仿宋" w:cs="微软雅黑" w:hint="eastAsia"/>
                <w:color w:val="000000"/>
                <w:sz w:val="21"/>
                <w:szCs w:val="21"/>
              </w:rPr>
              <w:t>祎</w:t>
            </w:r>
            <w:r>
              <w:rPr>
                <w:rFonts w:eastAsia="仿宋_GB2312" w:hAnsi="仿宋_GB2312" w:cs="仿宋_GB2312" w:hint="eastAsia"/>
                <w:color w:val="000000"/>
                <w:sz w:val="21"/>
                <w:szCs w:val="21"/>
              </w:rPr>
              <w:t>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Wen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Huwei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（温湖炜）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Dong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Xioasong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（董晓松）</w:t>
            </w:r>
          </w:p>
        </w:tc>
        <w:tc>
          <w:tcPr>
            <w:tcW w:w="708" w:type="dxa"/>
            <w:vAlign w:val="center"/>
          </w:tcPr>
          <w:p w14:paraId="45DAF5FF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2021,135,287-297</w:t>
            </w:r>
          </w:p>
        </w:tc>
        <w:tc>
          <w:tcPr>
            <w:tcW w:w="851" w:type="dxa"/>
            <w:vAlign w:val="center"/>
          </w:tcPr>
          <w:p w14:paraId="7C1C06FC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2021.9.8</w:t>
            </w:r>
          </w:p>
        </w:tc>
        <w:tc>
          <w:tcPr>
            <w:tcW w:w="850" w:type="dxa"/>
            <w:vAlign w:val="center"/>
          </w:tcPr>
          <w:p w14:paraId="5A44D919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董晓松</w:t>
            </w:r>
          </w:p>
        </w:tc>
        <w:tc>
          <w:tcPr>
            <w:tcW w:w="850" w:type="dxa"/>
            <w:vAlign w:val="center"/>
          </w:tcPr>
          <w:p w14:paraId="1E496F1F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田西</w:t>
            </w:r>
          </w:p>
        </w:tc>
        <w:tc>
          <w:tcPr>
            <w:tcW w:w="680" w:type="dxa"/>
            <w:vAlign w:val="center"/>
          </w:tcPr>
          <w:p w14:paraId="578FD2B4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907" w:type="dxa"/>
            <w:vAlign w:val="center"/>
          </w:tcPr>
          <w:p w14:paraId="29C5C475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Web of Science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数据库</w:t>
            </w:r>
          </w:p>
        </w:tc>
        <w:tc>
          <w:tcPr>
            <w:tcW w:w="675" w:type="dxa"/>
            <w:vAlign w:val="center"/>
          </w:tcPr>
          <w:p w14:paraId="230E8D47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644416" w14:paraId="5BEA18E2" w14:textId="77777777">
        <w:trPr>
          <w:trHeight w:val="690"/>
          <w:jc w:val="center"/>
        </w:trPr>
        <w:tc>
          <w:tcPr>
            <w:tcW w:w="397" w:type="dxa"/>
            <w:vAlign w:val="center"/>
          </w:tcPr>
          <w:p w14:paraId="65A78332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11" w:type="dxa"/>
            <w:vAlign w:val="center"/>
          </w:tcPr>
          <w:p w14:paraId="666102C9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Understanding waste sorting behavior and key influencing factors through internet of things: Evidence from college student community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（通过物联网理解垃圾分类行为及其关键影响因素）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/ Resources, Conservation and Recycling</w:t>
            </w:r>
          </w:p>
        </w:tc>
        <w:tc>
          <w:tcPr>
            <w:tcW w:w="1077" w:type="dxa"/>
            <w:vAlign w:val="center"/>
          </w:tcPr>
          <w:p w14:paraId="32B4B748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Xia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Ziqian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（夏子谦）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, Zhang Si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（张思）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, Tian Xi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（田西）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Liu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Yaobin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（刘耀彬）</w:t>
            </w:r>
          </w:p>
        </w:tc>
        <w:tc>
          <w:tcPr>
            <w:tcW w:w="708" w:type="dxa"/>
            <w:vAlign w:val="center"/>
          </w:tcPr>
          <w:p w14:paraId="59E80BF6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2021,174,105775</w:t>
            </w:r>
          </w:p>
        </w:tc>
        <w:tc>
          <w:tcPr>
            <w:tcW w:w="851" w:type="dxa"/>
            <w:vAlign w:val="center"/>
          </w:tcPr>
          <w:p w14:paraId="361FCF29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2021.6.4</w:t>
            </w:r>
          </w:p>
        </w:tc>
        <w:tc>
          <w:tcPr>
            <w:tcW w:w="850" w:type="dxa"/>
            <w:vAlign w:val="center"/>
          </w:tcPr>
          <w:p w14:paraId="7D5B15DB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田西</w:t>
            </w:r>
          </w:p>
        </w:tc>
        <w:tc>
          <w:tcPr>
            <w:tcW w:w="850" w:type="dxa"/>
            <w:vAlign w:val="center"/>
          </w:tcPr>
          <w:p w14:paraId="2A627B14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夏子谦</w:t>
            </w:r>
          </w:p>
        </w:tc>
        <w:tc>
          <w:tcPr>
            <w:tcW w:w="680" w:type="dxa"/>
            <w:vAlign w:val="center"/>
          </w:tcPr>
          <w:p w14:paraId="7CCCBE00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907" w:type="dxa"/>
            <w:vAlign w:val="center"/>
          </w:tcPr>
          <w:p w14:paraId="191E6BB3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Web of Science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数据库</w:t>
            </w:r>
          </w:p>
        </w:tc>
        <w:tc>
          <w:tcPr>
            <w:tcW w:w="675" w:type="dxa"/>
            <w:vAlign w:val="center"/>
          </w:tcPr>
          <w:p w14:paraId="3F167743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644416" w14:paraId="02126FC2" w14:textId="77777777">
        <w:trPr>
          <w:trHeight w:val="690"/>
          <w:jc w:val="center"/>
        </w:trPr>
        <w:tc>
          <w:tcPr>
            <w:tcW w:w="397" w:type="dxa"/>
            <w:vAlign w:val="center"/>
          </w:tcPr>
          <w:p w14:paraId="3EC9843F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lastRenderedPageBreak/>
              <w:t>5</w:t>
            </w:r>
          </w:p>
        </w:tc>
        <w:tc>
          <w:tcPr>
            <w:tcW w:w="2211" w:type="dxa"/>
            <w:vAlign w:val="center"/>
          </w:tcPr>
          <w:p w14:paraId="53E33F2D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Design and simulation of a secondary resource recycling system: A case study of lead-acid batteries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（二次资源回收系统的设计与仿真：以铅酸电池为例的研究）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/ Waste Management</w:t>
            </w:r>
          </w:p>
        </w:tc>
        <w:tc>
          <w:tcPr>
            <w:tcW w:w="1077" w:type="dxa"/>
            <w:vAlign w:val="center"/>
          </w:tcPr>
          <w:p w14:paraId="4FFB7677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Tian Xi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（田西）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, Xiao He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（肖和）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Liu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Yaobin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（刘耀彬）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 xml:space="preserve">, Ding </w:t>
            </w:r>
            <w:proofErr w:type="spellStart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Weirong</w:t>
            </w:r>
            <w:proofErr w:type="spellEnd"/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（丁玮蓉）</w:t>
            </w:r>
          </w:p>
        </w:tc>
        <w:tc>
          <w:tcPr>
            <w:tcW w:w="708" w:type="dxa"/>
            <w:vAlign w:val="center"/>
          </w:tcPr>
          <w:p w14:paraId="7CFC9A41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2021,126,78-88</w:t>
            </w:r>
          </w:p>
        </w:tc>
        <w:tc>
          <w:tcPr>
            <w:tcW w:w="851" w:type="dxa"/>
            <w:vAlign w:val="center"/>
          </w:tcPr>
          <w:p w14:paraId="01B6A674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2021.3.18</w:t>
            </w:r>
          </w:p>
        </w:tc>
        <w:tc>
          <w:tcPr>
            <w:tcW w:w="850" w:type="dxa"/>
            <w:vAlign w:val="center"/>
          </w:tcPr>
          <w:p w14:paraId="571C66EA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刘耀彬</w:t>
            </w:r>
          </w:p>
        </w:tc>
        <w:tc>
          <w:tcPr>
            <w:tcW w:w="850" w:type="dxa"/>
            <w:vAlign w:val="center"/>
          </w:tcPr>
          <w:p w14:paraId="77A4F061" w14:textId="77777777" w:rsidR="00644416" w:rsidRDefault="0000000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田西</w:t>
            </w:r>
          </w:p>
        </w:tc>
        <w:tc>
          <w:tcPr>
            <w:tcW w:w="680" w:type="dxa"/>
            <w:vAlign w:val="center"/>
          </w:tcPr>
          <w:p w14:paraId="4317132C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907" w:type="dxa"/>
            <w:vAlign w:val="center"/>
          </w:tcPr>
          <w:p w14:paraId="1F6C355D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Web of Science</w:t>
            </w: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数据库</w:t>
            </w:r>
          </w:p>
        </w:tc>
        <w:tc>
          <w:tcPr>
            <w:tcW w:w="675" w:type="dxa"/>
            <w:vAlign w:val="center"/>
          </w:tcPr>
          <w:p w14:paraId="1547E46A" w14:textId="77777777" w:rsidR="00644416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是</w:t>
            </w:r>
          </w:p>
        </w:tc>
      </w:tr>
    </w:tbl>
    <w:p w14:paraId="5AEE8C38" w14:textId="77777777" w:rsidR="00644416" w:rsidRDefault="00000000">
      <w:pPr>
        <w:widowControl/>
        <w:jc w:val="lef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br w:type="page"/>
      </w:r>
    </w:p>
    <w:p w14:paraId="53AE52D7" w14:textId="77777777" w:rsidR="006444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lastRenderedPageBreak/>
        <w:t>六、完成人</w:t>
      </w:r>
    </w:p>
    <w:p w14:paraId="1FD4BF09" w14:textId="77777777" w:rsidR="00644416" w:rsidRDefault="00000000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24"/>
          <w:szCs w:val="24"/>
        </w:rPr>
      </w:pPr>
      <w:r>
        <w:rPr>
          <w:rFonts w:ascii="Times New Roman" w:eastAsia="黑体" w:hAnsi="Times New Roman" w:cs="Times New Roman" w:hint="eastAsia"/>
          <w:bCs/>
          <w:sz w:val="24"/>
          <w:szCs w:val="24"/>
        </w:rPr>
        <w:t>完成人情况及贡献</w:t>
      </w:r>
    </w:p>
    <w:tbl>
      <w:tblPr>
        <w:tblW w:w="92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885"/>
        <w:gridCol w:w="885"/>
        <w:gridCol w:w="885"/>
        <w:gridCol w:w="1062"/>
        <w:gridCol w:w="1059"/>
        <w:gridCol w:w="3929"/>
      </w:tblGrid>
      <w:tr w:rsidR="00644416" w14:paraId="7BB160F1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3FB16EC6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排名</w:t>
            </w:r>
          </w:p>
        </w:tc>
        <w:tc>
          <w:tcPr>
            <w:tcW w:w="885" w:type="dxa"/>
            <w:vAlign w:val="center"/>
          </w:tcPr>
          <w:p w14:paraId="14F365BE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姓名</w:t>
            </w:r>
          </w:p>
        </w:tc>
        <w:tc>
          <w:tcPr>
            <w:tcW w:w="885" w:type="dxa"/>
            <w:vAlign w:val="center"/>
          </w:tcPr>
          <w:p w14:paraId="5892EC42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职务</w:t>
            </w:r>
          </w:p>
        </w:tc>
        <w:tc>
          <w:tcPr>
            <w:tcW w:w="885" w:type="dxa"/>
            <w:vAlign w:val="center"/>
          </w:tcPr>
          <w:p w14:paraId="177E8FB3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职称</w:t>
            </w:r>
          </w:p>
        </w:tc>
        <w:tc>
          <w:tcPr>
            <w:tcW w:w="1062" w:type="dxa"/>
            <w:vAlign w:val="center"/>
          </w:tcPr>
          <w:p w14:paraId="6D5B72D5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工作单位</w:t>
            </w:r>
          </w:p>
        </w:tc>
        <w:tc>
          <w:tcPr>
            <w:tcW w:w="1059" w:type="dxa"/>
            <w:vAlign w:val="center"/>
          </w:tcPr>
          <w:p w14:paraId="6851470B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完成单位</w:t>
            </w:r>
          </w:p>
        </w:tc>
        <w:tc>
          <w:tcPr>
            <w:tcW w:w="3929" w:type="dxa"/>
            <w:vAlign w:val="center"/>
          </w:tcPr>
          <w:p w14:paraId="111F5FF8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对本项目的贡献</w:t>
            </w:r>
          </w:p>
        </w:tc>
      </w:tr>
      <w:tr w:rsidR="00644416" w14:paraId="24FC9C21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5EE0F210" w14:textId="77777777" w:rsidR="00644416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1</w:t>
            </w:r>
          </w:p>
        </w:tc>
        <w:tc>
          <w:tcPr>
            <w:tcW w:w="885" w:type="dxa"/>
            <w:vAlign w:val="center"/>
          </w:tcPr>
          <w:p w14:paraId="76B33B08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田西</w:t>
            </w:r>
          </w:p>
        </w:tc>
        <w:tc>
          <w:tcPr>
            <w:tcW w:w="885" w:type="dxa"/>
            <w:vAlign w:val="center"/>
          </w:tcPr>
          <w:p w14:paraId="54EC9F56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国际交流处副处长</w:t>
            </w:r>
          </w:p>
        </w:tc>
        <w:tc>
          <w:tcPr>
            <w:tcW w:w="885" w:type="dxa"/>
            <w:vAlign w:val="center"/>
          </w:tcPr>
          <w:p w14:paraId="14A982C8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教授</w:t>
            </w:r>
          </w:p>
        </w:tc>
        <w:tc>
          <w:tcPr>
            <w:tcW w:w="1062" w:type="dxa"/>
            <w:vAlign w:val="center"/>
          </w:tcPr>
          <w:p w14:paraId="460AF2A5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</w:tcPr>
          <w:p w14:paraId="2D0B826D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29" w:type="dxa"/>
            <w:vAlign w:val="center"/>
          </w:tcPr>
          <w:p w14:paraId="2D976B50" w14:textId="77777777" w:rsidR="00644416" w:rsidRDefault="00000000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作为本成果的主要发起人和提出者，负责总体思路和技术路线，指导该成果全过程研究。基于循环利用中仍面临“减污降碳”的现实问题及科学问题，申请人以多种废弃物为对象开展城市与区域资源循环系统工程研究，包括新能源汽车退役动力电池、废铅酸蓄电池，以及废铜、废荧光灯、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LED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灯、废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CRT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锥玻璃、生活垃圾等多种典型固体废物。并基于以上系列研究提出“再生资源诅咒”效应的产生机理及传导机制，用于持续支撑探索推动资源循环系统中多主体跨区域协同绿色转型。也将技术大规模应用于地方行业等，服务地方资需求，推动了资源循环产业向绿色低碳转变，服务我省生态文明建设。</w:t>
            </w:r>
          </w:p>
        </w:tc>
      </w:tr>
      <w:tr w:rsidR="00644416" w14:paraId="407B1C08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09FE5D15" w14:textId="77777777" w:rsidR="00644416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2</w:t>
            </w:r>
          </w:p>
        </w:tc>
        <w:tc>
          <w:tcPr>
            <w:tcW w:w="885" w:type="dxa"/>
            <w:vAlign w:val="center"/>
          </w:tcPr>
          <w:p w14:paraId="7E459FDA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刘耀彬</w:t>
            </w:r>
          </w:p>
        </w:tc>
        <w:tc>
          <w:tcPr>
            <w:tcW w:w="885" w:type="dxa"/>
            <w:vAlign w:val="center"/>
          </w:tcPr>
          <w:p w14:paraId="50127B5C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江西财经大学党委书记</w:t>
            </w:r>
          </w:p>
        </w:tc>
        <w:tc>
          <w:tcPr>
            <w:tcW w:w="885" w:type="dxa"/>
            <w:vAlign w:val="center"/>
          </w:tcPr>
          <w:p w14:paraId="70135A5A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教授</w:t>
            </w:r>
          </w:p>
        </w:tc>
        <w:tc>
          <w:tcPr>
            <w:tcW w:w="1062" w:type="dxa"/>
            <w:vAlign w:val="center"/>
          </w:tcPr>
          <w:p w14:paraId="317E180C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</w:tcPr>
          <w:p w14:paraId="4D6D46D2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29" w:type="dxa"/>
            <w:vAlign w:val="center"/>
          </w:tcPr>
          <w:p w14:paraId="7442C48C" w14:textId="77777777" w:rsidR="00644416" w:rsidRDefault="00000000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参与了本项目中多个环节，合作完成多项论文成果。其中重点参与理论效应的研究，比照“资源诅咒”理论，基于其中企业层面的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Marshall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外部性，从资源化利用边际递减视角解释单位回收率对利润的影响；基于其中产业链层面的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Jacobs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外部性，从技术替代视角解释回收行业绿色技术补贴的需求；基于其中区域层面的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Krugman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外部性，从环境容量视角解释资源过度转移回收的负面影响。其次，比照“资源诅咒”理论的应用领域、产生背景、传统观念、现实问题、发生地区、评估指标、支撑理论，依次刻画“再生资源诅咒”对应的特征，为系统地推动再生资源产业绿色转型提供理论基础。</w:t>
            </w:r>
          </w:p>
        </w:tc>
      </w:tr>
      <w:tr w:rsidR="00644416" w14:paraId="5D4D6121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4DEF2B68" w14:textId="77777777" w:rsidR="00644416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3</w:t>
            </w:r>
          </w:p>
        </w:tc>
        <w:tc>
          <w:tcPr>
            <w:tcW w:w="885" w:type="dxa"/>
            <w:vAlign w:val="center"/>
          </w:tcPr>
          <w:p w14:paraId="6B612014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bookmarkStart w:id="0" w:name="_Hlk180838667"/>
            <w:bookmarkEnd w:id="0"/>
            <w:r>
              <w:rPr>
                <w:rFonts w:ascii="Times New Roman" w:eastAsia="仿宋_GB2312" w:hAnsi="Times New Roman" w:cs="Times New Roman" w:hint="eastAsia"/>
              </w:rPr>
              <w:t>徐明</w:t>
            </w:r>
          </w:p>
        </w:tc>
        <w:tc>
          <w:tcPr>
            <w:tcW w:w="885" w:type="dxa"/>
            <w:vAlign w:val="center"/>
          </w:tcPr>
          <w:p w14:paraId="08187D4E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副院长</w:t>
            </w:r>
          </w:p>
        </w:tc>
        <w:tc>
          <w:tcPr>
            <w:tcW w:w="885" w:type="dxa"/>
            <w:vAlign w:val="center"/>
          </w:tcPr>
          <w:p w14:paraId="2E8BCB51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教授</w:t>
            </w:r>
          </w:p>
        </w:tc>
        <w:tc>
          <w:tcPr>
            <w:tcW w:w="1062" w:type="dxa"/>
            <w:vAlign w:val="center"/>
          </w:tcPr>
          <w:p w14:paraId="44039BD2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清华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大学</w:t>
            </w:r>
          </w:p>
        </w:tc>
        <w:tc>
          <w:tcPr>
            <w:tcW w:w="1059" w:type="dxa"/>
            <w:vAlign w:val="center"/>
          </w:tcPr>
          <w:p w14:paraId="597DA65F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清华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大学</w:t>
            </w:r>
          </w:p>
        </w:tc>
        <w:tc>
          <w:tcPr>
            <w:tcW w:w="3929" w:type="dxa"/>
            <w:vAlign w:val="center"/>
          </w:tcPr>
          <w:p w14:paraId="4464779B" w14:textId="77777777" w:rsidR="00644416" w:rsidRDefault="00000000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参与了本项目中多个环节，合作完成多项论文成果，涉及代表作中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篇论文。其中，关于理论创新方面，联合其他两位申请人，共同提出了“再生资源诅咒”效应，基于环境外部性视角，重点从技术层面和产业链层面的外部性开展系统性分析，揭示其在再生资源回收企业中的产生机理和传导机制，为再生资源产业的绿色转型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lastRenderedPageBreak/>
              <w:t>提供了理论基础和技术支持。此外，基于一致透明的数据源和数据库结构，牵头完善了中国环境扩展投入产出（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CEEIO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）数据库，涵盖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44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种环境压力指标，新增了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种有害微量元素和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种气体污染物的部门排放数据，确定了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种污染物排放量的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97.5%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的置信区间。</w:t>
            </w:r>
          </w:p>
        </w:tc>
      </w:tr>
    </w:tbl>
    <w:p w14:paraId="3F1898F0" w14:textId="77777777" w:rsidR="00644416" w:rsidRDefault="00000000">
      <w:pPr>
        <w:widowControl/>
        <w:jc w:val="lef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lastRenderedPageBreak/>
        <w:t>七、完成单位</w:t>
      </w:r>
    </w:p>
    <w:p w14:paraId="39823049" w14:textId="77777777" w:rsidR="00644416" w:rsidRDefault="00000000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24"/>
          <w:szCs w:val="24"/>
        </w:rPr>
      </w:pPr>
      <w:r>
        <w:rPr>
          <w:rFonts w:ascii="Times New Roman" w:eastAsia="黑体" w:hAnsi="Times New Roman" w:cs="Times New Roman" w:hint="eastAsia"/>
          <w:bCs/>
          <w:sz w:val="24"/>
          <w:szCs w:val="24"/>
        </w:rPr>
        <w:t>完成单位情况及贡献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454"/>
        <w:gridCol w:w="5953"/>
      </w:tblGrid>
      <w:tr w:rsidR="00644416" w14:paraId="53F80862" w14:textId="77777777">
        <w:trPr>
          <w:trHeight w:val="477"/>
          <w:jc w:val="center"/>
        </w:trPr>
        <w:tc>
          <w:tcPr>
            <w:tcW w:w="797" w:type="dxa"/>
            <w:vAlign w:val="center"/>
          </w:tcPr>
          <w:p w14:paraId="1A742EEE" w14:textId="77777777" w:rsidR="00644416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排名</w:t>
            </w:r>
          </w:p>
        </w:tc>
        <w:tc>
          <w:tcPr>
            <w:tcW w:w="2454" w:type="dxa"/>
            <w:vAlign w:val="center"/>
          </w:tcPr>
          <w:p w14:paraId="76392B3D" w14:textId="77777777" w:rsidR="00644416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  <w:t>单位名称</w:t>
            </w:r>
          </w:p>
        </w:tc>
        <w:tc>
          <w:tcPr>
            <w:tcW w:w="5953" w:type="dxa"/>
            <w:vAlign w:val="center"/>
          </w:tcPr>
          <w:p w14:paraId="0A3CA7A5" w14:textId="77777777" w:rsidR="00644416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  <w:t>对本项目的贡献</w:t>
            </w:r>
          </w:p>
        </w:tc>
      </w:tr>
      <w:tr w:rsidR="00644416" w14:paraId="402221F6" w14:textId="77777777">
        <w:trPr>
          <w:trHeight w:val="45"/>
          <w:jc w:val="center"/>
        </w:trPr>
        <w:tc>
          <w:tcPr>
            <w:tcW w:w="797" w:type="dxa"/>
            <w:vAlign w:val="center"/>
          </w:tcPr>
          <w:p w14:paraId="6D666E37" w14:textId="77777777" w:rsidR="00644416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1</w:t>
            </w:r>
          </w:p>
        </w:tc>
        <w:tc>
          <w:tcPr>
            <w:tcW w:w="2454" w:type="dxa"/>
            <w:vAlign w:val="center"/>
          </w:tcPr>
          <w:p w14:paraId="0D9F3349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5953" w:type="dxa"/>
          </w:tcPr>
          <w:p w14:paraId="2F7F4260" w14:textId="77777777" w:rsidR="00644416" w:rsidRDefault="00000000">
            <w:pPr>
              <w:overflowPunct w:val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作为项目第一完成单位，负责本项目的总体技术路线设计，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项目提出了“再生资源诅咒”效应的产生机理及传导机制，用于持续支撑探索推动资源循环系统中多主体跨区域协同绿色转型，同时将技术大规模应用于地方行业等，服务地方资需求，推动了资源循环产业向绿色低碳转变。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在项目的研制、开发、应用和推广过程中提供了技术、设备和人员等条件，对项目的完成起到了组织、管理和协调的重要作用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  <w:tr w:rsidR="00644416" w14:paraId="6E9D91E3" w14:textId="77777777">
        <w:trPr>
          <w:trHeight w:val="45"/>
          <w:jc w:val="center"/>
        </w:trPr>
        <w:tc>
          <w:tcPr>
            <w:tcW w:w="797" w:type="dxa"/>
            <w:vAlign w:val="center"/>
          </w:tcPr>
          <w:p w14:paraId="787D9FF9" w14:textId="77777777" w:rsidR="00644416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2</w:t>
            </w:r>
          </w:p>
        </w:tc>
        <w:tc>
          <w:tcPr>
            <w:tcW w:w="2454" w:type="dxa"/>
            <w:vAlign w:val="center"/>
          </w:tcPr>
          <w:p w14:paraId="066F09D9" w14:textId="77777777" w:rsidR="00644416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清华大学</w:t>
            </w:r>
          </w:p>
        </w:tc>
        <w:tc>
          <w:tcPr>
            <w:tcW w:w="5953" w:type="dxa"/>
            <w:vAlign w:val="center"/>
          </w:tcPr>
          <w:p w14:paraId="6CD97D01" w14:textId="77777777" w:rsidR="00644416" w:rsidRDefault="00000000">
            <w:pPr>
              <w:overflowPunct w:val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在理论创新和数据库建设方面做出重要贡献。共同提出“再生资源诅咒”效应，基于环境外部性视角，重点从技术层面和产业链层面的外部性开展系统性分析，揭示其在再生资源回收企业中的产生机理和传导机制。基于一致透明的数据源和数据库结构，牵头完善了中国环境扩展投入产出（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CEEIO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）数据库。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在项目的研制、开发、应用和推广过程中提供了技术、设备和人员等条件，对项目的完成起到了协同创新的重要作用。</w:t>
            </w:r>
          </w:p>
        </w:tc>
      </w:tr>
    </w:tbl>
    <w:p w14:paraId="7D71AA26" w14:textId="77777777" w:rsidR="00644416" w:rsidRDefault="00644416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sectPr w:rsidR="0064441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CE75C" w14:textId="77777777" w:rsidR="00794AF1" w:rsidRDefault="00794AF1">
      <w:pPr>
        <w:rPr>
          <w:rFonts w:hint="eastAsia"/>
        </w:rPr>
      </w:pPr>
      <w:r>
        <w:separator/>
      </w:r>
    </w:p>
  </w:endnote>
  <w:endnote w:type="continuationSeparator" w:id="0">
    <w:p w14:paraId="75995C2B" w14:textId="77777777" w:rsidR="00794AF1" w:rsidRDefault="00794A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38F10F97" w14:textId="77777777" w:rsidR="00644416" w:rsidRDefault="00000000">
        <w:pPr>
          <w:pStyle w:val="a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644416" w:rsidRDefault="0064441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6477D" w14:textId="77777777" w:rsidR="00794AF1" w:rsidRDefault="00794AF1">
      <w:pPr>
        <w:rPr>
          <w:rFonts w:hint="eastAsia"/>
        </w:rPr>
      </w:pPr>
      <w:r>
        <w:separator/>
      </w:r>
    </w:p>
  </w:footnote>
  <w:footnote w:type="continuationSeparator" w:id="0">
    <w:p w14:paraId="67C596A1" w14:textId="77777777" w:rsidR="00794AF1" w:rsidRDefault="00794AF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2D"/>
    <w:rsid w:val="000D269F"/>
    <w:rsid w:val="00105AA3"/>
    <w:rsid w:val="00116210"/>
    <w:rsid w:val="00194E22"/>
    <w:rsid w:val="00213B2A"/>
    <w:rsid w:val="00267552"/>
    <w:rsid w:val="002763E6"/>
    <w:rsid w:val="002F045D"/>
    <w:rsid w:val="002F0F5D"/>
    <w:rsid w:val="003525DD"/>
    <w:rsid w:val="00397CEB"/>
    <w:rsid w:val="003A6F45"/>
    <w:rsid w:val="003B35F2"/>
    <w:rsid w:val="004458FA"/>
    <w:rsid w:val="004532AC"/>
    <w:rsid w:val="00462BA3"/>
    <w:rsid w:val="004E1B47"/>
    <w:rsid w:val="004F096D"/>
    <w:rsid w:val="005125E8"/>
    <w:rsid w:val="00522627"/>
    <w:rsid w:val="00577CF9"/>
    <w:rsid w:val="005B724F"/>
    <w:rsid w:val="005E1DEE"/>
    <w:rsid w:val="00601169"/>
    <w:rsid w:val="00614AFC"/>
    <w:rsid w:val="00644416"/>
    <w:rsid w:val="006515EA"/>
    <w:rsid w:val="00661089"/>
    <w:rsid w:val="006A2F7D"/>
    <w:rsid w:val="006D4CF7"/>
    <w:rsid w:val="007609CD"/>
    <w:rsid w:val="00794AF1"/>
    <w:rsid w:val="007B4AAF"/>
    <w:rsid w:val="007D0DBF"/>
    <w:rsid w:val="007D63FA"/>
    <w:rsid w:val="008635A1"/>
    <w:rsid w:val="00874336"/>
    <w:rsid w:val="0087531C"/>
    <w:rsid w:val="008D32CA"/>
    <w:rsid w:val="009154E2"/>
    <w:rsid w:val="00927936"/>
    <w:rsid w:val="00981E1A"/>
    <w:rsid w:val="009B4D2D"/>
    <w:rsid w:val="009B6837"/>
    <w:rsid w:val="009C7E1B"/>
    <w:rsid w:val="00A2254C"/>
    <w:rsid w:val="00A4304C"/>
    <w:rsid w:val="00B11BEB"/>
    <w:rsid w:val="00B131C6"/>
    <w:rsid w:val="00B2386F"/>
    <w:rsid w:val="00B26CEB"/>
    <w:rsid w:val="00B71B41"/>
    <w:rsid w:val="00B7387C"/>
    <w:rsid w:val="00BF663B"/>
    <w:rsid w:val="00CE5ADA"/>
    <w:rsid w:val="00DD6C3E"/>
    <w:rsid w:val="00E16C07"/>
    <w:rsid w:val="00E6492D"/>
    <w:rsid w:val="00ED7F11"/>
    <w:rsid w:val="00EE79B5"/>
    <w:rsid w:val="00F242D3"/>
    <w:rsid w:val="05D0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12C6C"/>
  <w15:docId w15:val="{03944AE1-01BE-4AC1-A63D-8B47CBA26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pPr>
      <w:spacing w:line="360" w:lineRule="auto"/>
      <w:ind w:firstLineChars="200" w:firstLine="480"/>
    </w:pPr>
    <w:rPr>
      <w:rFonts w:ascii="仿宋_GB2312" w:eastAsia="宋体" w:hAnsi="Calibri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纯文本 字符"/>
    <w:basedOn w:val="a0"/>
    <w:link w:val="a3"/>
    <w:uiPriority w:val="99"/>
    <w:qFormat/>
    <w:rPr>
      <w:rFonts w:ascii="仿宋_GB2312" w:eastAsia="宋体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yu mao</cp:lastModifiedBy>
  <cp:revision>10</cp:revision>
  <dcterms:created xsi:type="dcterms:W3CDTF">2024-12-11T06:01:00Z</dcterms:created>
  <dcterms:modified xsi:type="dcterms:W3CDTF">2024-12-13T06:34:00Z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BB26787161F34E06BB008D95F885673A_12</vt:lpwstr>
  </property>
</Properties>
</file>