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4C46A">
      <w:pPr>
        <w:spacing w:line="400" w:lineRule="exact"/>
        <w:outlineLvl w:val="1"/>
        <w:rPr>
          <w:rFonts w:hint="eastAsia" w:ascii="仿宋_GB2312" w:hAnsi="方正仿宋_GB2312" w:eastAsia="仿宋_GB2312" w:cs="方正仿宋_GB2312"/>
          <w:sz w:val="28"/>
          <w:szCs w:val="28"/>
        </w:rPr>
      </w:pPr>
      <w:bookmarkStart w:id="0" w:name="_GoBack"/>
      <w:bookmarkEnd w:id="0"/>
      <w:r>
        <w:rPr>
          <w:rFonts w:hint="eastAsia" w:ascii="仿宋_GB2312" w:hAnsi="方正仿宋_GB2312" w:eastAsia="仿宋_GB2312" w:cs="方正仿宋_GB2312"/>
          <w:b/>
          <w:bCs/>
          <w:sz w:val="28"/>
          <w:szCs w:val="28"/>
        </w:rPr>
        <w:t>项目名称</w:t>
      </w:r>
      <w:r>
        <w:rPr>
          <w:rFonts w:hint="eastAsia" w:ascii="仿宋_GB2312" w:hAnsi="方正仿宋_GB2312" w:eastAsia="仿宋_GB2312" w:cs="方正仿宋_GB2312"/>
          <w:sz w:val="28"/>
          <w:szCs w:val="28"/>
        </w:rPr>
        <w:t>：黄病毒复制机制、致病机理和防控药物</w:t>
      </w:r>
    </w:p>
    <w:p w14:paraId="7EF5078B">
      <w:pPr>
        <w:spacing w:line="400" w:lineRule="exact"/>
        <w:outlineLvl w:val="1"/>
        <w:rPr>
          <w:rFonts w:hint="eastAsia" w:ascii="仿宋_GB2312" w:hAnsi="方正仿宋_GB2312" w:eastAsia="仿宋_GB2312" w:cs="方正仿宋_GB2312"/>
          <w:sz w:val="28"/>
          <w:szCs w:val="28"/>
        </w:rPr>
      </w:pPr>
      <w:r>
        <w:rPr>
          <w:rFonts w:hint="eastAsia" w:ascii="仿宋_GB2312" w:hAnsi="方正仿宋_GB2312" w:eastAsia="仿宋_GB2312" w:cs="方正仿宋_GB2312"/>
          <w:b/>
          <w:bCs/>
          <w:sz w:val="28"/>
          <w:szCs w:val="28"/>
        </w:rPr>
        <w:t>提名者</w:t>
      </w:r>
      <w:r>
        <w:rPr>
          <w:rFonts w:hint="eastAsia" w:ascii="仿宋_GB2312" w:hAnsi="方正仿宋_GB2312" w:eastAsia="仿宋_GB2312" w:cs="方正仿宋_GB2312"/>
          <w:sz w:val="28"/>
          <w:szCs w:val="28"/>
        </w:rPr>
        <w:t>：江西省教育厅</w:t>
      </w:r>
    </w:p>
    <w:p w14:paraId="0C54D958">
      <w:pPr>
        <w:spacing w:line="400" w:lineRule="exact"/>
        <w:outlineLvl w:val="1"/>
        <w:rPr>
          <w:rFonts w:hint="eastAsia" w:ascii="仿宋_GB2312" w:hAnsi="方正仿宋_GB2312" w:eastAsia="仿宋_GB2312" w:cs="方正仿宋_GB2312"/>
          <w:sz w:val="28"/>
          <w:szCs w:val="28"/>
        </w:rPr>
      </w:pPr>
      <w:r>
        <w:rPr>
          <w:rFonts w:hint="eastAsia" w:ascii="仿宋_GB2312" w:hAnsi="方正仿宋_GB2312" w:eastAsia="仿宋_GB2312" w:cs="方正仿宋_GB2312"/>
          <w:b/>
          <w:bCs/>
          <w:sz w:val="28"/>
          <w:szCs w:val="28"/>
        </w:rPr>
        <w:t>提名意见</w:t>
      </w:r>
      <w:r>
        <w:rPr>
          <w:rFonts w:hint="eastAsia" w:ascii="仿宋_GB2312" w:hAnsi="方正仿宋_GB2312" w:eastAsia="仿宋_GB2312" w:cs="方正仿宋_GB2312"/>
          <w:sz w:val="28"/>
          <w:szCs w:val="28"/>
        </w:rPr>
        <w:t>：</w:t>
      </w:r>
    </w:p>
    <w:p w14:paraId="0F6F5BD5">
      <w:pPr>
        <w:spacing w:line="400" w:lineRule="exact"/>
        <w:ind w:firstLine="420"/>
        <w:outlineLvl w:val="1"/>
        <w:rPr>
          <w:rFonts w:hint="eastAsia" w:ascii="仿宋_GB2312" w:hAnsi="方正仿宋_GB2312" w:eastAsia="仿宋_GB2312" w:cs="方正仿宋_GB2312"/>
          <w:sz w:val="28"/>
          <w:szCs w:val="28"/>
        </w:rPr>
      </w:pPr>
      <w:r>
        <w:rPr>
          <w:rFonts w:hint="eastAsia" w:ascii="仿宋_GB2312" w:hAnsi="方正仿宋_GB2312" w:eastAsia="仿宋_GB2312" w:cs="方正仿宋_GB2312"/>
          <w:bCs/>
          <w:sz w:val="28"/>
          <w:szCs w:val="28"/>
        </w:rPr>
        <w:t>乙脑病毒和丙肝病毒是严重危害动物及人类健康的两种黄病毒。它们的复制机制和致病机理仍有诸多未解之谜，防控药物依然缺乏或者存在不足。本项目以上述两种黄病毒为研究对象，围绕病毒复制机制、致病机理和防控药物开展系统性研究，取得系列国际创新性成果，累计发表论文16篇。其中，SCI论文14篇；以通讯或第一作者在国际著名期刊Lancet旗下子刊EBioMedicine杂志（中科院一区，IF 11.2）等Top期刊发表论文7篇。代表性论文他引146次。获中国留学人员联谊会“双创”大赛三等奖、中国微生物学会优秀学术交流奖、江西省创新创业大赛铜奖。培养4名研究生获江西省优秀研究生学位论文。获批国家发明专利 3 项，支撑获批南昌市重点实验室1个。</w:t>
      </w:r>
    </w:p>
    <w:p w14:paraId="6FCDC6FA">
      <w:pPr>
        <w:spacing w:line="400" w:lineRule="exact"/>
        <w:outlineLvl w:val="1"/>
        <w:rPr>
          <w:rFonts w:ascii="仿宋_GB2312" w:hAnsi="方正仿宋_GB2312" w:eastAsia="仿宋_GB2312" w:cs="方正仿宋_GB2312"/>
          <w:sz w:val="28"/>
          <w:szCs w:val="28"/>
        </w:rPr>
      </w:pPr>
      <w:r>
        <w:rPr>
          <w:rFonts w:hint="eastAsia" w:ascii="仿宋_GB2312" w:hAnsi="方正仿宋_GB2312" w:eastAsia="仿宋_GB2312" w:cs="方正仿宋_GB2312"/>
          <w:b/>
          <w:bCs/>
          <w:sz w:val="28"/>
          <w:szCs w:val="28"/>
        </w:rPr>
        <w:t>提名等级</w:t>
      </w:r>
      <w:r>
        <w:rPr>
          <w:rFonts w:hint="eastAsia" w:ascii="仿宋_GB2312" w:hAnsi="方正仿宋_GB2312" w:eastAsia="仿宋_GB2312" w:cs="方正仿宋_GB2312"/>
          <w:sz w:val="28"/>
          <w:szCs w:val="28"/>
        </w:rPr>
        <w:t>：</w:t>
      </w:r>
      <w:r>
        <w:rPr>
          <w:rFonts w:hint="eastAsia" w:ascii="仿宋_GB2312" w:hAnsi="方正仿宋_GB2312" w:eastAsia="仿宋_GB2312" w:cs="方正仿宋_GB2312"/>
          <w:bCs/>
          <w:sz w:val="28"/>
          <w:szCs w:val="28"/>
        </w:rPr>
        <w:t>江西省自然科学奖</w:t>
      </w:r>
      <w:r>
        <w:rPr>
          <w:rFonts w:hint="eastAsia" w:ascii="仿宋_GB2312" w:hAnsi="方正仿宋_GB2312" w:eastAsia="仿宋_GB2312" w:cs="方正仿宋_GB2312"/>
          <w:sz w:val="28"/>
          <w:szCs w:val="28"/>
        </w:rPr>
        <w:t>二等奖</w:t>
      </w:r>
    </w:p>
    <w:p w14:paraId="0B154216">
      <w:pPr>
        <w:spacing w:line="400" w:lineRule="exact"/>
        <w:outlineLvl w:val="1"/>
        <w:rPr>
          <w:rFonts w:hint="eastAsia" w:ascii="仿宋_GB2312" w:hAnsi="方正仿宋_GB2312" w:eastAsia="仿宋_GB2312" w:cs="方正仿宋_GB2312"/>
          <w:sz w:val="28"/>
          <w:szCs w:val="28"/>
        </w:rPr>
      </w:pPr>
      <w:r>
        <w:rPr>
          <w:rFonts w:hint="eastAsia" w:ascii="仿宋_GB2312" w:hAnsi="方正仿宋_GB2312" w:eastAsia="仿宋_GB2312" w:cs="方正仿宋_GB2312"/>
          <w:b/>
          <w:bCs/>
          <w:sz w:val="28"/>
          <w:szCs w:val="28"/>
        </w:rPr>
        <w:t>项目简介</w:t>
      </w:r>
      <w:r>
        <w:rPr>
          <w:rFonts w:hint="eastAsia" w:ascii="仿宋_GB2312" w:hAnsi="方正仿宋_GB2312" w:eastAsia="仿宋_GB2312" w:cs="方正仿宋_GB2312"/>
          <w:sz w:val="28"/>
          <w:szCs w:val="28"/>
        </w:rPr>
        <w:t>：</w:t>
      </w:r>
    </w:p>
    <w:p w14:paraId="73ACB64B">
      <w:pPr>
        <w:spacing w:line="400" w:lineRule="exact"/>
        <w:ind w:firstLine="560" w:firstLineChars="200"/>
        <w:rPr>
          <w:rFonts w:hint="eastAsia" w:ascii="仿宋_GB2312" w:hAnsi="方正仿宋_GB2312" w:eastAsia="仿宋_GB2312" w:cs="方正仿宋_GB2312"/>
          <w:bCs/>
          <w:sz w:val="28"/>
          <w:szCs w:val="28"/>
        </w:rPr>
      </w:pPr>
      <w:r>
        <w:rPr>
          <w:rFonts w:hint="eastAsia" w:ascii="仿宋_GB2312" w:hAnsi="方正仿宋_GB2312" w:eastAsia="仿宋_GB2312" w:cs="方正仿宋_GB2312"/>
          <w:bCs/>
          <w:sz w:val="28"/>
          <w:szCs w:val="28"/>
        </w:rPr>
        <w:t>项目领域：病毒学。</w:t>
      </w:r>
    </w:p>
    <w:p w14:paraId="6D53D351">
      <w:pPr>
        <w:spacing w:line="400" w:lineRule="exact"/>
        <w:ind w:firstLine="560" w:firstLineChars="200"/>
        <w:rPr>
          <w:rFonts w:hint="eastAsia" w:ascii="仿宋_GB2312" w:hAnsi="方正仿宋_GB2312" w:eastAsia="仿宋_GB2312" w:cs="方正仿宋_GB2312"/>
          <w:bCs/>
          <w:sz w:val="28"/>
          <w:szCs w:val="28"/>
        </w:rPr>
      </w:pPr>
      <w:r>
        <w:rPr>
          <w:rFonts w:hint="eastAsia" w:ascii="仿宋_GB2312" w:hAnsi="方正仿宋_GB2312" w:eastAsia="仿宋_GB2312" w:cs="方正仿宋_GB2312"/>
          <w:bCs/>
          <w:sz w:val="28"/>
          <w:szCs w:val="28"/>
        </w:rPr>
        <w:t>研究内容：乙型脑炎（乙脑）病毒和丙型肝炎（丙肝）病毒是严重危害动物及人类健康的两种重要黄病毒。其复制机制和致病机理仍有诸多未解之谜，防控药物依然缺乏或存在不足。本项目以上述两种黄病毒为主要研究对象，围绕病毒复制机制、致病机理和防控药物开展系列研究。</w:t>
      </w:r>
    </w:p>
    <w:p w14:paraId="4F706729">
      <w:pPr>
        <w:pStyle w:val="2"/>
        <w:spacing w:line="400" w:lineRule="exact"/>
        <w:ind w:left="0" w:leftChars="0" w:firstLine="560" w:firstLineChars="200"/>
        <w:rPr>
          <w:rFonts w:hint="eastAsia" w:ascii="仿宋_GB2312" w:hAnsi="方正仿宋_GB2312" w:eastAsia="仿宋_GB2312" w:cs="方正仿宋_GB2312"/>
          <w:bCs/>
          <w:sz w:val="28"/>
          <w:szCs w:val="28"/>
        </w:rPr>
      </w:pPr>
      <w:r>
        <w:rPr>
          <w:rFonts w:hint="eastAsia" w:ascii="仿宋_GB2312" w:hAnsi="方正仿宋_GB2312" w:eastAsia="仿宋_GB2312" w:cs="方正仿宋_GB2312"/>
          <w:bCs/>
          <w:sz w:val="28"/>
          <w:szCs w:val="28"/>
        </w:rPr>
        <w:t>科学发现点与科学价值：主要取得如下科学发现：（1）在新型黄病毒防控药物研究方面取得新进展。研发了LTB-NS1</w:t>
      </w:r>
      <w:r>
        <w:rPr>
          <w:rFonts w:hint="eastAsia" w:ascii="仿宋_GB2312" w:hAnsi="方正仿宋_GB2312" w:eastAsia="仿宋_GB2312" w:cs="方正仿宋_GB2312"/>
          <w:bCs/>
          <w:sz w:val="28"/>
          <w:szCs w:val="28"/>
          <w:vertAlign w:val="subscript"/>
        </w:rPr>
        <w:t>△21</w:t>
      </w:r>
      <w:r>
        <w:rPr>
          <w:rFonts w:hint="eastAsia" w:ascii="仿宋_GB2312" w:hAnsi="方正仿宋_GB2312" w:eastAsia="仿宋_GB2312" w:cs="方正仿宋_GB2312"/>
          <w:bCs/>
          <w:sz w:val="28"/>
          <w:szCs w:val="28"/>
        </w:rPr>
        <w:t>等黄病毒基因工程蛋白疫苗；筛选获得抑制丙肝病毒NS5B蛋白活性的5个新化合物。（2）首次发现乙脑病毒NS4B蛋白经内质网应激激活PERK和IRE1/JNK信号通路，导致脑细胞凋亡等乙型脑炎症状。（3）首次发现乙脑病毒抑制STAT3-Foxo-Bcl-6/p21信号通路，导致脑细胞凋亡。（4）发现了丙肝病毒NS4B蛋白与宿主的新型互作及其功能。首次发现丙肝病毒NS4B蛋白经内质网超负荷反应激活STAT3和NF-κB信号通路，促进病毒持续感染和肝癌发生。首次发现丙肝病毒NS4B蛋白与细胞蛋白PREB、Surfeit 4和OCIAD2相互作用，进而增强病毒基因组复制。（5）以内质网应激和表观遗传为切入点系统总结了病毒与宿主的相互作用、生物学功能、研究展望和治疗价值。这些成果拓宽了人类对黄病毒等致病病毒生物学特性的认知，促进了新型黄病毒防控药物研发。</w:t>
      </w:r>
    </w:p>
    <w:p w14:paraId="7306859A">
      <w:pPr>
        <w:spacing w:line="400" w:lineRule="exact"/>
        <w:outlineLvl w:val="1"/>
        <w:rPr>
          <w:rFonts w:hint="eastAsia" w:ascii="仿宋_GB2312" w:hAnsi="方正仿宋_GB2312" w:eastAsia="仿宋_GB2312" w:cs="方正仿宋_GB2312"/>
          <w:bCs/>
          <w:sz w:val="28"/>
          <w:szCs w:val="28"/>
        </w:rPr>
      </w:pPr>
      <w:r>
        <w:rPr>
          <w:rFonts w:hint="eastAsia" w:ascii="仿宋_GB2312" w:hAnsi="方正仿宋_GB2312" w:eastAsia="仿宋_GB2312" w:cs="方正仿宋_GB2312"/>
          <w:b/>
          <w:sz w:val="28"/>
          <w:szCs w:val="28"/>
        </w:rPr>
        <w:t>同行引用及评价</w:t>
      </w:r>
      <w:r>
        <w:rPr>
          <w:rFonts w:hint="eastAsia" w:ascii="仿宋_GB2312" w:hAnsi="方正仿宋_GB2312" w:eastAsia="仿宋_GB2312" w:cs="方正仿宋_GB2312"/>
          <w:bCs/>
          <w:sz w:val="28"/>
          <w:szCs w:val="28"/>
        </w:rPr>
        <w:t>：发表论文16篇。其中，SCI论文14篇；以通讯或第一（含共同）作者在国际著名期刊Lancet旗下子刊EBioMedicine（IF 11.2，中科院一区）等Top期刊发表论文 7篇。代表性论文被Nature Communication等知名期刊论文正面引用和评价146 次。获批国家发明专利 3 项。促使日本国立感染症研究所3次邀请并资助项目完成人赴日本和法国参加会议并做报告，该报告</w:t>
      </w:r>
      <w:r>
        <w:rPr>
          <w:rFonts w:hint="eastAsia" w:ascii="仿宋_GB2312" w:hAnsi="方正仿宋_GB2312" w:eastAsia="仿宋_GB2312" w:cs="方正仿宋_GB2312"/>
          <w:sz w:val="28"/>
          <w:szCs w:val="28"/>
        </w:rPr>
        <w:t>被Journal of Hepatology （IF 25.08）论文正面引用</w:t>
      </w:r>
      <w:r>
        <w:rPr>
          <w:rFonts w:hint="eastAsia" w:ascii="仿宋_GB2312" w:hAnsi="方正仿宋_GB2312" w:eastAsia="仿宋_GB2312" w:cs="方正仿宋_GB2312"/>
          <w:bCs/>
          <w:sz w:val="28"/>
          <w:szCs w:val="28"/>
        </w:rPr>
        <w:t>；助推项目完成人受邀担任Frontiers in Microbiology病毒领域副主编。获中国留学人员联谊会第二届“双创”大赛生物医药和中医药产业赛区创意组三等奖（全国一、二、三等奖仅有12项，中国新闻网、新华网等媒体正面报道）、中国微生物学会优秀学术交流奖、江西省创新创业大赛铜奖。培养4名研究生获江西省优秀研究生学位论文。支撑了南昌市动物病毒与基因工程实验室获批。</w:t>
      </w:r>
    </w:p>
    <w:p w14:paraId="26B21A81">
      <w:pPr>
        <w:spacing w:line="400" w:lineRule="exact"/>
        <w:outlineLvl w:val="1"/>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代表性专著论文目录：</w:t>
      </w:r>
    </w:p>
    <w:tbl>
      <w:tblPr>
        <w:tblStyle w:val="8"/>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435"/>
        <w:gridCol w:w="1606"/>
        <w:gridCol w:w="1190"/>
        <w:gridCol w:w="610"/>
        <w:gridCol w:w="610"/>
        <w:gridCol w:w="774"/>
        <w:gridCol w:w="464"/>
        <w:gridCol w:w="836"/>
        <w:gridCol w:w="1113"/>
      </w:tblGrid>
      <w:tr w14:paraId="2F9B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Align w:val="center"/>
          </w:tcPr>
          <w:p w14:paraId="3CBBF803">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序</w:t>
            </w:r>
          </w:p>
          <w:p w14:paraId="600775D1">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号</w:t>
            </w:r>
          </w:p>
        </w:tc>
        <w:tc>
          <w:tcPr>
            <w:tcW w:w="1435" w:type="dxa"/>
            <w:vAlign w:val="center"/>
          </w:tcPr>
          <w:p w14:paraId="570D753A">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论文（专著）名称/刊名</w:t>
            </w:r>
          </w:p>
        </w:tc>
        <w:tc>
          <w:tcPr>
            <w:tcW w:w="1606" w:type="dxa"/>
            <w:vAlign w:val="center"/>
          </w:tcPr>
          <w:p w14:paraId="2B657206">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作者（按发</w:t>
            </w:r>
            <w:r>
              <w:rPr>
                <w:rFonts w:hint="eastAsia" w:ascii="方正仿宋_GB2312" w:hAnsi="方正仿宋_GB2312" w:eastAsia="方正仿宋_GB2312" w:cs="方正仿宋_GB2312"/>
                <w:spacing w:val="-20"/>
                <w:szCs w:val="21"/>
              </w:rPr>
              <w:t>表顺序）</w:t>
            </w:r>
          </w:p>
        </w:tc>
        <w:tc>
          <w:tcPr>
            <w:tcW w:w="1190" w:type="dxa"/>
            <w:vAlign w:val="center"/>
          </w:tcPr>
          <w:p w14:paraId="306FA22B">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年卷页码（××年××卷××页）</w:t>
            </w:r>
          </w:p>
        </w:tc>
        <w:tc>
          <w:tcPr>
            <w:tcW w:w="610" w:type="dxa"/>
            <w:vAlign w:val="center"/>
          </w:tcPr>
          <w:p w14:paraId="5D411FAF">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pacing w:val="-20"/>
                <w:szCs w:val="21"/>
              </w:rPr>
              <w:t>发表时间（年月日）</w:t>
            </w:r>
          </w:p>
        </w:tc>
        <w:tc>
          <w:tcPr>
            <w:tcW w:w="610" w:type="dxa"/>
            <w:vAlign w:val="center"/>
          </w:tcPr>
          <w:p w14:paraId="37981EFF">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pacing w:val="-20"/>
                <w:szCs w:val="21"/>
              </w:rPr>
              <w:t>通讯作者（含共同）</w:t>
            </w:r>
          </w:p>
        </w:tc>
        <w:tc>
          <w:tcPr>
            <w:tcW w:w="774" w:type="dxa"/>
            <w:vAlign w:val="center"/>
          </w:tcPr>
          <w:p w14:paraId="0C738D20">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pacing w:val="-20"/>
                <w:szCs w:val="21"/>
              </w:rPr>
              <w:t>第一作者（含共同）</w:t>
            </w:r>
          </w:p>
        </w:tc>
        <w:tc>
          <w:tcPr>
            <w:tcW w:w="464" w:type="dxa"/>
            <w:vAlign w:val="center"/>
          </w:tcPr>
          <w:p w14:paraId="0AC26A28">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他引总次数</w:t>
            </w:r>
          </w:p>
        </w:tc>
        <w:tc>
          <w:tcPr>
            <w:tcW w:w="836" w:type="dxa"/>
            <w:vAlign w:val="center"/>
          </w:tcPr>
          <w:p w14:paraId="4B1F2AE5">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检索数据库</w:t>
            </w:r>
          </w:p>
        </w:tc>
        <w:tc>
          <w:tcPr>
            <w:tcW w:w="1113" w:type="dxa"/>
            <w:vAlign w:val="center"/>
          </w:tcPr>
          <w:p w14:paraId="2B54F7E5">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第一署名单位是否江西省内</w:t>
            </w:r>
          </w:p>
          <w:p w14:paraId="1007BE24">
            <w:pPr>
              <w:adjustRightInd w:val="0"/>
              <w:snapToGrid w:val="0"/>
              <w:spacing w:line="400" w:lineRule="exact"/>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单位</w:t>
            </w:r>
          </w:p>
        </w:tc>
      </w:tr>
      <w:tr w14:paraId="5ABA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3" w:hRule="atLeast"/>
        </w:trPr>
        <w:tc>
          <w:tcPr>
            <w:tcW w:w="427" w:type="dxa"/>
            <w:vAlign w:val="center"/>
          </w:tcPr>
          <w:p w14:paraId="4C1E72DF">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1</w:t>
            </w:r>
          </w:p>
        </w:tc>
        <w:tc>
          <w:tcPr>
            <w:tcW w:w="1435" w:type="dxa"/>
            <w:vAlign w:val="center"/>
          </w:tcPr>
          <w:p w14:paraId="52153F01">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 xml:space="preserve"> Novel Japanese encephalitis virus NS1-based vaccine: Truncated NS1 fused with E. coli heat labile enterotoxin B subunit</w:t>
            </w:r>
          </w:p>
          <w:p w14:paraId="521C7D05">
            <w:pPr>
              <w:adjustRightInd w:val="0"/>
              <w:snapToGrid w:val="0"/>
              <w:spacing w:line="400" w:lineRule="exact"/>
              <w:rPr>
                <w:rFonts w:ascii="方正仿宋_GB2312" w:hAnsi="方正仿宋_GB2312" w:eastAsia="方正仿宋_GB2312" w:cs="方正仿宋_GB2312"/>
                <w:sz w:val="18"/>
                <w:szCs w:val="18"/>
              </w:rPr>
            </w:pPr>
          </w:p>
          <w:p w14:paraId="1BF85B41">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基于乙脑病毒NS1的新型基因工程疫苗：截短的NS1与大肠杆菌热敏性肠毒素B亚基融合</w:t>
            </w:r>
          </w:p>
          <w:p w14:paraId="74378B60">
            <w:pPr>
              <w:adjustRightInd w:val="0"/>
              <w:snapToGrid w:val="0"/>
              <w:spacing w:line="400" w:lineRule="exact"/>
              <w:rPr>
                <w:rFonts w:ascii="方正仿宋_GB2312" w:hAnsi="方正仿宋_GB2312" w:eastAsia="方正仿宋_GB2312" w:cs="方正仿宋_GB2312"/>
                <w:sz w:val="18"/>
                <w:szCs w:val="18"/>
              </w:rPr>
            </w:pPr>
          </w:p>
        </w:tc>
        <w:tc>
          <w:tcPr>
            <w:tcW w:w="1606" w:type="dxa"/>
            <w:vAlign w:val="center"/>
          </w:tcPr>
          <w:p w14:paraId="380B69AC">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Wan J, Wang T, Xu J, Ouyang T, Wang Q, Zhang Y, Weng S, Li Y, Wang Y, Xin X, Wang X, Li S*, Kong L*.</w:t>
            </w:r>
          </w:p>
          <w:p w14:paraId="7D8FAD39">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万加武，王婷，徐晶，欧阳涛，王骞若，张艳妮，翁诗琦，李逸寒，王宇，辛秀，王晓玲，李莎，孔令保</w:t>
            </w:r>
          </w:p>
        </w:tc>
        <w:tc>
          <w:tcPr>
            <w:tcW w:w="1190" w:type="dxa"/>
            <w:vAlign w:val="center"/>
          </w:tcPr>
          <w:p w14:paraId="02B3B55F">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 xml:space="preserve"> 2021 May; 67:103353  </w:t>
            </w:r>
          </w:p>
        </w:tc>
        <w:tc>
          <w:tcPr>
            <w:tcW w:w="610" w:type="dxa"/>
            <w:vAlign w:val="center"/>
          </w:tcPr>
          <w:p w14:paraId="53F2E54E">
            <w:pPr>
              <w:adjustRightInd w:val="0"/>
              <w:snapToGrid w:val="0"/>
              <w:spacing w:line="400" w:lineRule="exact"/>
              <w:rPr>
                <w:rFonts w:ascii="方正仿宋_GB2312" w:hAnsi="方正仿宋_GB2312" w:eastAsia="方正仿宋_GB2312" w:cs="方正仿宋_GB2312"/>
                <w:spacing w:val="-20"/>
                <w:sz w:val="18"/>
                <w:szCs w:val="18"/>
              </w:rPr>
            </w:pPr>
            <w:r>
              <w:rPr>
                <w:rFonts w:hint="eastAsia" w:ascii="方正仿宋_GB2312" w:hAnsi="方正仿宋_GB2312" w:eastAsia="方正仿宋_GB2312" w:cs="方正仿宋_GB2312"/>
                <w:sz w:val="18"/>
                <w:szCs w:val="18"/>
              </w:rPr>
              <w:t>2021 May 7</w:t>
            </w:r>
          </w:p>
        </w:tc>
        <w:tc>
          <w:tcPr>
            <w:tcW w:w="610" w:type="dxa"/>
            <w:vAlign w:val="center"/>
          </w:tcPr>
          <w:p w14:paraId="4FB102BD">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 xml:space="preserve"> Li S*, Kong L*</w:t>
            </w:r>
          </w:p>
          <w:p w14:paraId="33104F54">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李莎，孔令保</w:t>
            </w:r>
          </w:p>
        </w:tc>
        <w:tc>
          <w:tcPr>
            <w:tcW w:w="774" w:type="dxa"/>
            <w:vAlign w:val="center"/>
          </w:tcPr>
          <w:p w14:paraId="3B15A294">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Wan J, Wang T</w:t>
            </w:r>
          </w:p>
          <w:p w14:paraId="6C7726DB">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万加武，王婷</w:t>
            </w:r>
          </w:p>
        </w:tc>
        <w:tc>
          <w:tcPr>
            <w:tcW w:w="464" w:type="dxa"/>
            <w:vAlign w:val="center"/>
          </w:tcPr>
          <w:p w14:paraId="4AAAAD63">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7</w:t>
            </w:r>
          </w:p>
        </w:tc>
        <w:tc>
          <w:tcPr>
            <w:tcW w:w="836" w:type="dxa"/>
            <w:vAlign w:val="center"/>
          </w:tcPr>
          <w:p w14:paraId="028852D0">
            <w:pPr>
              <w:adjustRightInd w:val="0"/>
              <w:snapToGrid w:val="0"/>
              <w:spacing w:line="400" w:lineRule="exact"/>
              <w:rPr>
                <w:rFonts w:ascii="方正仿宋_GB2312" w:hAnsi="方正仿宋_GB2312" w:eastAsia="方正仿宋_GB2312" w:cs="方正仿宋_GB2312"/>
                <w:sz w:val="18"/>
                <w:szCs w:val="18"/>
              </w:rPr>
            </w:pPr>
            <w:r>
              <w:rPr>
                <w:rStyle w:val="15"/>
                <w:rFonts w:hint="eastAsia" w:ascii="方正仿宋_GB2312" w:hAnsi="方正仿宋_GB2312" w:eastAsia="方正仿宋_GB2312" w:cs="方正仿宋_GB2312"/>
                <w:bCs/>
                <w:sz w:val="18"/>
                <w:szCs w:val="18"/>
              </w:rPr>
              <w:t>web of science</w:t>
            </w:r>
          </w:p>
        </w:tc>
        <w:tc>
          <w:tcPr>
            <w:tcW w:w="1113" w:type="dxa"/>
            <w:vAlign w:val="center"/>
          </w:tcPr>
          <w:p w14:paraId="147F2890">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是</w:t>
            </w:r>
          </w:p>
        </w:tc>
      </w:tr>
      <w:tr w14:paraId="3796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8" w:hRule="atLeast"/>
        </w:trPr>
        <w:tc>
          <w:tcPr>
            <w:tcW w:w="427" w:type="dxa"/>
            <w:vAlign w:val="center"/>
          </w:tcPr>
          <w:p w14:paraId="22723BB3">
            <w:pPr>
              <w:adjustRightInd w:val="0"/>
              <w:snapToGrid w:val="0"/>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2</w:t>
            </w:r>
          </w:p>
        </w:tc>
        <w:tc>
          <w:tcPr>
            <w:tcW w:w="1435" w:type="dxa"/>
            <w:vAlign w:val="center"/>
          </w:tcPr>
          <w:p w14:paraId="598615DF">
            <w:pPr>
              <w:pStyle w:val="6"/>
              <w:spacing w:before="0" w:beforeAutospacing="0" w:after="0" w:afterAutospacing="0" w:line="400" w:lineRule="exact"/>
              <w:jc w:val="both"/>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Japanese Encephalitis Virus Induces Apoptosis and Encephalitis by Activating the PERK Pathway/J Virol</w:t>
            </w:r>
          </w:p>
          <w:p w14:paraId="3EB45A88">
            <w:pPr>
              <w:pStyle w:val="6"/>
              <w:spacing w:before="0" w:beforeAutospacing="0" w:after="0" w:afterAutospacing="0" w:line="400" w:lineRule="exact"/>
              <w:jc w:val="both"/>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color w:val="000000"/>
                <w:sz w:val="18"/>
                <w:szCs w:val="18"/>
              </w:rPr>
              <w:t>乙脑病毒通过激活PERK信号通路诱导凋亡和脑炎/病毒学杂志</w:t>
            </w:r>
          </w:p>
        </w:tc>
        <w:tc>
          <w:tcPr>
            <w:tcW w:w="1606" w:type="dxa"/>
            <w:vAlign w:val="center"/>
          </w:tcPr>
          <w:p w14:paraId="3F86824F">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Wang Q, Xin X, Wang T, Wan J, Ou Y, Yang Z, Yu Q, Zhu L, Guo Y, Wu Y, Ding Z, Zhang Y, Pan Z, Tang Y, Li S*, Kong L* 王骞若，辛秀，王婷，万加武，欧阳涛，杨自兵，余琦佳，朱丽婷，郭韫丽， 丁诊，张艳妮，潘兹书，唐玉新，李珊珊*，孔令保*</w:t>
            </w:r>
          </w:p>
        </w:tc>
        <w:tc>
          <w:tcPr>
            <w:tcW w:w="1190" w:type="dxa"/>
            <w:vAlign w:val="center"/>
          </w:tcPr>
          <w:p w14:paraId="7A045172">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333333"/>
                <w:sz w:val="18"/>
                <w:szCs w:val="18"/>
                <w:shd w:val="clear" w:color="auto" w:fill="FFFFFF"/>
              </w:rPr>
              <w:t>2019, 93(17),</w:t>
            </w:r>
            <w:r>
              <w:rPr>
                <w:rFonts w:hint="eastAsia" w:ascii="方正仿宋_GB2312" w:hAnsi="方正仿宋_GB2312" w:eastAsia="方正仿宋_GB2312" w:cs="方正仿宋_GB2312"/>
                <w:bCs/>
                <w:color w:val="333333"/>
                <w:sz w:val="18"/>
                <w:szCs w:val="18"/>
                <w:shd w:val="clear" w:color="auto" w:fill="FFFFFF"/>
              </w:rPr>
              <w:tab/>
            </w:r>
            <w:r>
              <w:rPr>
                <w:rFonts w:hint="eastAsia" w:ascii="方正仿宋_GB2312" w:hAnsi="方正仿宋_GB2312" w:eastAsia="方正仿宋_GB2312" w:cs="方正仿宋_GB2312"/>
                <w:bCs/>
                <w:color w:val="333333"/>
                <w:sz w:val="18"/>
                <w:szCs w:val="18"/>
                <w:shd w:val="clear" w:color="auto" w:fill="FFFFFF"/>
              </w:rPr>
              <w:t>1-17</w:t>
            </w:r>
          </w:p>
        </w:tc>
        <w:tc>
          <w:tcPr>
            <w:tcW w:w="610" w:type="dxa"/>
            <w:vAlign w:val="center"/>
          </w:tcPr>
          <w:p w14:paraId="26197F26">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000000"/>
                <w:sz w:val="18"/>
                <w:szCs w:val="18"/>
              </w:rPr>
              <w:t>2019 Aug 13</w:t>
            </w:r>
          </w:p>
        </w:tc>
        <w:tc>
          <w:tcPr>
            <w:tcW w:w="610" w:type="dxa"/>
            <w:vAlign w:val="center"/>
          </w:tcPr>
          <w:p w14:paraId="6C461DF0">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Li S*, Kong L*</w:t>
            </w:r>
          </w:p>
          <w:p w14:paraId="6394D8AB">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李珊珊*，孔令保*</w:t>
            </w:r>
          </w:p>
          <w:p w14:paraId="7B038F84">
            <w:pPr>
              <w:spacing w:line="400" w:lineRule="exact"/>
              <w:rPr>
                <w:rFonts w:ascii="方正仿宋_GB2312" w:hAnsi="方正仿宋_GB2312" w:eastAsia="方正仿宋_GB2312" w:cs="方正仿宋_GB2312"/>
                <w:bCs/>
                <w:color w:val="000000"/>
                <w:sz w:val="18"/>
                <w:szCs w:val="18"/>
              </w:rPr>
            </w:pPr>
          </w:p>
        </w:tc>
        <w:tc>
          <w:tcPr>
            <w:tcW w:w="774" w:type="dxa"/>
            <w:vAlign w:val="center"/>
          </w:tcPr>
          <w:p w14:paraId="27D63DFD">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Wang Q, Xin X, Wang T</w:t>
            </w:r>
          </w:p>
          <w:p w14:paraId="2779EE46">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王骞若，辛秀，王婷，</w:t>
            </w:r>
          </w:p>
        </w:tc>
        <w:tc>
          <w:tcPr>
            <w:tcW w:w="464" w:type="dxa"/>
            <w:vAlign w:val="center"/>
          </w:tcPr>
          <w:p w14:paraId="79B7EC91">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51</w:t>
            </w:r>
          </w:p>
        </w:tc>
        <w:tc>
          <w:tcPr>
            <w:tcW w:w="836" w:type="dxa"/>
            <w:vAlign w:val="center"/>
          </w:tcPr>
          <w:p w14:paraId="1C331F7F">
            <w:pPr>
              <w:spacing w:line="400" w:lineRule="exact"/>
              <w:rPr>
                <w:rFonts w:ascii="方正仿宋_GB2312" w:hAnsi="方正仿宋_GB2312" w:eastAsia="方正仿宋_GB2312" w:cs="方正仿宋_GB2312"/>
                <w:bCs/>
                <w:sz w:val="18"/>
                <w:szCs w:val="18"/>
              </w:rPr>
            </w:pPr>
            <w:r>
              <w:rPr>
                <w:rStyle w:val="15"/>
                <w:rFonts w:hint="eastAsia" w:ascii="方正仿宋_GB2312" w:hAnsi="方正仿宋_GB2312" w:eastAsia="方正仿宋_GB2312" w:cs="方正仿宋_GB2312"/>
                <w:bCs/>
                <w:sz w:val="18"/>
                <w:szCs w:val="18"/>
              </w:rPr>
              <w:t>web of science</w:t>
            </w:r>
          </w:p>
        </w:tc>
        <w:tc>
          <w:tcPr>
            <w:tcW w:w="1113" w:type="dxa"/>
            <w:vAlign w:val="center"/>
          </w:tcPr>
          <w:p w14:paraId="48235850">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是</w:t>
            </w:r>
          </w:p>
        </w:tc>
      </w:tr>
      <w:tr w14:paraId="7329D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8" w:hRule="atLeast"/>
        </w:trPr>
        <w:tc>
          <w:tcPr>
            <w:tcW w:w="427" w:type="dxa"/>
          </w:tcPr>
          <w:p w14:paraId="6AF69982">
            <w:pPr>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3</w:t>
            </w:r>
          </w:p>
        </w:tc>
        <w:tc>
          <w:tcPr>
            <w:tcW w:w="1435" w:type="dxa"/>
            <w:vAlign w:val="center"/>
          </w:tcPr>
          <w:p w14:paraId="49FDA645">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Japanese encephalitis virus induces apoptosis by inhibiting Foxo signaling pathway/Vet Microbiol</w:t>
            </w:r>
          </w:p>
          <w:p w14:paraId="4D410FF6">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 xml:space="preserve">乙脑病毒通过抑制Foxo信号通路诱导凋亡/兽医微生物 </w:t>
            </w:r>
          </w:p>
        </w:tc>
        <w:tc>
          <w:tcPr>
            <w:tcW w:w="1606" w:type="dxa"/>
            <w:vAlign w:val="center"/>
          </w:tcPr>
          <w:p w14:paraId="405F3E38">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000000"/>
                <w:sz w:val="18"/>
                <w:szCs w:val="18"/>
              </w:rPr>
              <w:t>Guo F, Yu X, Xu A, Xu J, Wang Q, Guo Y, Wu X, Tang Y, Ding Z, Zhang Y, Gong T, Pan Z, Li S*, Kong L* 郭逢林，余希岚，徐阿慧，徐晶，王骞若，郭韫丽，吴晓玉，唐玉新，丁诊，张艳妮，龚甜，潘兹书，李珊珊*，孔令保*</w:t>
            </w:r>
          </w:p>
        </w:tc>
        <w:tc>
          <w:tcPr>
            <w:tcW w:w="1190" w:type="dxa"/>
            <w:vAlign w:val="center"/>
          </w:tcPr>
          <w:p w14:paraId="66CDB1A7">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2018,220,</w:t>
            </w:r>
            <w:r>
              <w:rPr>
                <w:rFonts w:hint="eastAsia" w:ascii="方正仿宋_GB2312" w:hAnsi="方正仿宋_GB2312" w:eastAsia="方正仿宋_GB2312" w:cs="方正仿宋_GB2312"/>
                <w:bCs/>
                <w:sz w:val="18"/>
                <w:szCs w:val="18"/>
              </w:rPr>
              <w:tab/>
            </w:r>
            <w:r>
              <w:rPr>
                <w:rFonts w:hint="eastAsia" w:ascii="方正仿宋_GB2312" w:hAnsi="方正仿宋_GB2312" w:eastAsia="方正仿宋_GB2312" w:cs="方正仿宋_GB2312"/>
                <w:bCs/>
                <w:sz w:val="18"/>
                <w:szCs w:val="18"/>
              </w:rPr>
              <w:t>73-82</w:t>
            </w:r>
          </w:p>
        </w:tc>
        <w:tc>
          <w:tcPr>
            <w:tcW w:w="610" w:type="dxa"/>
            <w:vAlign w:val="center"/>
          </w:tcPr>
          <w:p w14:paraId="58B06666">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000000"/>
                <w:sz w:val="18"/>
                <w:szCs w:val="18"/>
              </w:rPr>
              <w:t>2018 Jul</w:t>
            </w:r>
          </w:p>
        </w:tc>
        <w:tc>
          <w:tcPr>
            <w:tcW w:w="610" w:type="dxa"/>
            <w:vAlign w:val="center"/>
          </w:tcPr>
          <w:p w14:paraId="4BAF7561">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Li S*, Kong L*</w:t>
            </w:r>
          </w:p>
          <w:p w14:paraId="5E3ADB9A">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000000"/>
                <w:sz w:val="18"/>
                <w:szCs w:val="18"/>
              </w:rPr>
              <w:t>李珊珊*，孔令保*</w:t>
            </w:r>
          </w:p>
        </w:tc>
        <w:tc>
          <w:tcPr>
            <w:tcW w:w="774" w:type="dxa"/>
            <w:vAlign w:val="center"/>
          </w:tcPr>
          <w:p w14:paraId="0A44D227">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000000"/>
                <w:sz w:val="18"/>
                <w:szCs w:val="18"/>
              </w:rPr>
              <w:t>Guo F，郭逢林</w:t>
            </w:r>
          </w:p>
        </w:tc>
        <w:tc>
          <w:tcPr>
            <w:tcW w:w="464" w:type="dxa"/>
            <w:vAlign w:val="center"/>
          </w:tcPr>
          <w:p w14:paraId="427BE181">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38</w:t>
            </w:r>
          </w:p>
        </w:tc>
        <w:tc>
          <w:tcPr>
            <w:tcW w:w="836" w:type="dxa"/>
            <w:vAlign w:val="center"/>
          </w:tcPr>
          <w:p w14:paraId="0AFC4595">
            <w:pPr>
              <w:spacing w:line="400" w:lineRule="exact"/>
              <w:rPr>
                <w:rFonts w:ascii="方正仿宋_GB2312" w:hAnsi="方正仿宋_GB2312" w:eastAsia="方正仿宋_GB2312" w:cs="方正仿宋_GB2312"/>
                <w:bCs/>
                <w:sz w:val="18"/>
                <w:szCs w:val="18"/>
              </w:rPr>
            </w:pPr>
            <w:r>
              <w:rPr>
                <w:rStyle w:val="15"/>
                <w:rFonts w:hint="eastAsia" w:ascii="方正仿宋_GB2312" w:hAnsi="方正仿宋_GB2312" w:eastAsia="方正仿宋_GB2312" w:cs="方正仿宋_GB2312"/>
                <w:bCs/>
                <w:sz w:val="18"/>
                <w:szCs w:val="18"/>
              </w:rPr>
              <w:t>web of science</w:t>
            </w:r>
          </w:p>
        </w:tc>
        <w:tc>
          <w:tcPr>
            <w:tcW w:w="1113" w:type="dxa"/>
            <w:vAlign w:val="center"/>
          </w:tcPr>
          <w:p w14:paraId="7FA23F3D">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是</w:t>
            </w:r>
          </w:p>
        </w:tc>
      </w:tr>
      <w:tr w14:paraId="56301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427" w:type="dxa"/>
          </w:tcPr>
          <w:p w14:paraId="061E463B">
            <w:pPr>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4</w:t>
            </w:r>
          </w:p>
        </w:tc>
        <w:tc>
          <w:tcPr>
            <w:tcW w:w="1435" w:type="dxa"/>
            <w:vAlign w:val="center"/>
          </w:tcPr>
          <w:p w14:paraId="6C9C3042">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Japanese encephalitis virus induces apoptosis by the IRE1/JNK pathway of ER stress response in BHK-21 cells/Arch Virol</w:t>
            </w:r>
          </w:p>
          <w:p w14:paraId="0DC857DC">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乙脑病毒在BHK-2细胞内激活内质网应激反应IRE1/JNK信号通路诱导凋亡/病毒学档案</w:t>
            </w:r>
          </w:p>
        </w:tc>
        <w:tc>
          <w:tcPr>
            <w:tcW w:w="1606" w:type="dxa"/>
            <w:vAlign w:val="center"/>
          </w:tcPr>
          <w:p w14:paraId="7FF11E69">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 xml:space="preserve">Huang M, Xu A, Wu X, Zhang Y, Guo Y, Guo F, Pan Z, Kong L*. </w:t>
            </w:r>
          </w:p>
          <w:p w14:paraId="0DFED67E">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000000"/>
                <w:sz w:val="18"/>
                <w:szCs w:val="18"/>
              </w:rPr>
              <w:t>黄明洁，徐阿慧，吴晓玉，张艳妮，郭韫丽，郭逢林，潘兹书，孔令保*</w:t>
            </w:r>
          </w:p>
        </w:tc>
        <w:tc>
          <w:tcPr>
            <w:tcW w:w="1190" w:type="dxa"/>
            <w:vAlign w:val="center"/>
          </w:tcPr>
          <w:p w14:paraId="1CA5B87A">
            <w:pPr>
              <w:pStyle w:val="6"/>
              <w:spacing w:before="0" w:beforeAutospacing="0" w:after="0" w:afterAutospacing="0" w:line="400" w:lineRule="exact"/>
              <w:jc w:val="both"/>
              <w:rPr>
                <w:rFonts w:ascii="方正仿宋_GB2312" w:hAnsi="方正仿宋_GB2312" w:eastAsia="方正仿宋_GB2312" w:cs="方正仿宋_GB2312"/>
                <w:bCs/>
                <w:color w:val="333333"/>
                <w:sz w:val="18"/>
                <w:szCs w:val="18"/>
                <w:shd w:val="clear" w:color="auto" w:fill="FFFFFF"/>
              </w:rPr>
            </w:pPr>
            <w:r>
              <w:rPr>
                <w:rFonts w:hint="eastAsia" w:ascii="方正仿宋_GB2312" w:hAnsi="方正仿宋_GB2312" w:eastAsia="方正仿宋_GB2312" w:cs="方正仿宋_GB2312"/>
                <w:bCs/>
                <w:color w:val="333333"/>
                <w:sz w:val="18"/>
                <w:szCs w:val="18"/>
                <w:shd w:val="clear" w:color="auto" w:fill="FFFFFF"/>
              </w:rPr>
              <w:t>2016,</w:t>
            </w:r>
            <w:r>
              <w:rPr>
                <w:rFonts w:hint="eastAsia" w:ascii="方正仿宋_GB2312" w:hAnsi="方正仿宋_GB2312" w:eastAsia="方正仿宋_GB2312" w:cs="方正仿宋_GB2312"/>
                <w:bCs/>
                <w:color w:val="000000"/>
                <w:sz w:val="18"/>
                <w:szCs w:val="18"/>
              </w:rPr>
              <w:t>161(3),699-703</w:t>
            </w:r>
          </w:p>
        </w:tc>
        <w:tc>
          <w:tcPr>
            <w:tcW w:w="610" w:type="dxa"/>
            <w:vAlign w:val="center"/>
          </w:tcPr>
          <w:p w14:paraId="20BCB2F0">
            <w:pPr>
              <w:pStyle w:val="6"/>
              <w:spacing w:before="0" w:beforeAutospacing="0" w:after="0" w:afterAutospacing="0" w:line="400" w:lineRule="exact"/>
              <w:jc w:val="both"/>
              <w:rPr>
                <w:rFonts w:ascii="方正仿宋_GB2312" w:hAnsi="方正仿宋_GB2312" w:eastAsia="方正仿宋_GB2312" w:cs="方正仿宋_GB2312"/>
                <w:bCs/>
                <w:color w:val="333333"/>
                <w:sz w:val="18"/>
                <w:szCs w:val="18"/>
                <w:shd w:val="clear" w:color="auto" w:fill="FFFFFF"/>
              </w:rPr>
            </w:pPr>
            <w:r>
              <w:rPr>
                <w:rFonts w:hint="eastAsia" w:ascii="方正仿宋_GB2312" w:hAnsi="方正仿宋_GB2312" w:eastAsia="方正仿宋_GB2312" w:cs="方正仿宋_GB2312"/>
                <w:bCs/>
                <w:color w:val="000000"/>
                <w:sz w:val="18"/>
                <w:szCs w:val="18"/>
              </w:rPr>
              <w:t>2016 Mar</w:t>
            </w:r>
          </w:p>
        </w:tc>
        <w:tc>
          <w:tcPr>
            <w:tcW w:w="610" w:type="dxa"/>
            <w:vAlign w:val="center"/>
          </w:tcPr>
          <w:p w14:paraId="6F3AE7B7">
            <w:pPr>
              <w:pStyle w:val="6"/>
              <w:spacing w:before="0" w:beforeAutospacing="0" w:after="0" w:afterAutospacing="0" w:line="400" w:lineRule="exact"/>
              <w:jc w:val="both"/>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Kong L*</w:t>
            </w:r>
          </w:p>
          <w:p w14:paraId="45F2D96C">
            <w:pPr>
              <w:pStyle w:val="6"/>
              <w:spacing w:before="0" w:beforeAutospacing="0" w:after="0" w:afterAutospacing="0" w:line="400" w:lineRule="exact"/>
              <w:jc w:val="both"/>
              <w:rPr>
                <w:rFonts w:ascii="方正仿宋_GB2312" w:hAnsi="方正仿宋_GB2312" w:eastAsia="方正仿宋_GB2312" w:cs="方正仿宋_GB2312"/>
                <w:bCs/>
                <w:color w:val="333333"/>
                <w:sz w:val="18"/>
                <w:szCs w:val="18"/>
                <w:shd w:val="clear" w:color="auto" w:fill="FFFFFF"/>
              </w:rPr>
            </w:pPr>
            <w:r>
              <w:rPr>
                <w:rFonts w:hint="eastAsia" w:ascii="方正仿宋_GB2312" w:hAnsi="方正仿宋_GB2312" w:eastAsia="方正仿宋_GB2312" w:cs="方正仿宋_GB2312"/>
                <w:bCs/>
                <w:color w:val="000000"/>
                <w:sz w:val="18"/>
                <w:szCs w:val="18"/>
              </w:rPr>
              <w:t>孔令保*</w:t>
            </w:r>
          </w:p>
        </w:tc>
        <w:tc>
          <w:tcPr>
            <w:tcW w:w="774" w:type="dxa"/>
            <w:vAlign w:val="center"/>
          </w:tcPr>
          <w:p w14:paraId="5A96CD02">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Huang M，</w:t>
            </w:r>
          </w:p>
          <w:p w14:paraId="464CF1E4">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color w:val="000000"/>
                <w:sz w:val="18"/>
                <w:szCs w:val="18"/>
              </w:rPr>
              <w:t>黄明洁</w:t>
            </w:r>
          </w:p>
        </w:tc>
        <w:tc>
          <w:tcPr>
            <w:tcW w:w="464" w:type="dxa"/>
            <w:vAlign w:val="center"/>
          </w:tcPr>
          <w:p w14:paraId="3E082A93">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41</w:t>
            </w:r>
          </w:p>
        </w:tc>
        <w:tc>
          <w:tcPr>
            <w:tcW w:w="836" w:type="dxa"/>
            <w:vAlign w:val="center"/>
          </w:tcPr>
          <w:p w14:paraId="097E16E2">
            <w:pPr>
              <w:spacing w:line="400" w:lineRule="exact"/>
              <w:rPr>
                <w:rFonts w:ascii="方正仿宋_GB2312" w:hAnsi="方正仿宋_GB2312" w:eastAsia="方正仿宋_GB2312" w:cs="方正仿宋_GB2312"/>
                <w:bCs/>
                <w:sz w:val="18"/>
                <w:szCs w:val="18"/>
              </w:rPr>
            </w:pPr>
            <w:r>
              <w:rPr>
                <w:rStyle w:val="15"/>
                <w:rFonts w:hint="eastAsia" w:ascii="方正仿宋_GB2312" w:hAnsi="方正仿宋_GB2312" w:eastAsia="方正仿宋_GB2312" w:cs="方正仿宋_GB2312"/>
                <w:bCs/>
                <w:sz w:val="18"/>
                <w:szCs w:val="18"/>
              </w:rPr>
              <w:t>web of science</w:t>
            </w:r>
          </w:p>
        </w:tc>
        <w:tc>
          <w:tcPr>
            <w:tcW w:w="1113" w:type="dxa"/>
            <w:vAlign w:val="center"/>
          </w:tcPr>
          <w:p w14:paraId="6D122723">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是</w:t>
            </w:r>
          </w:p>
        </w:tc>
      </w:tr>
      <w:tr w14:paraId="20E9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1" w:hRule="atLeast"/>
        </w:trPr>
        <w:tc>
          <w:tcPr>
            <w:tcW w:w="427" w:type="dxa"/>
          </w:tcPr>
          <w:p w14:paraId="58BAFEA6">
            <w:pPr>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5</w:t>
            </w:r>
          </w:p>
        </w:tc>
        <w:tc>
          <w:tcPr>
            <w:tcW w:w="1435" w:type="dxa"/>
            <w:vAlign w:val="center"/>
          </w:tcPr>
          <w:p w14:paraId="628D54DA">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Hepatitis C virus and its protein NS4B activate the cancer-related STAT3 pathway via the endoplasmic reticulum overload response. Arch Virol.丙肝病毒和其蛋白NS4B经内质网超负荷反应激活癌症相关的STAT3信号通路/病毒学档案</w:t>
            </w:r>
          </w:p>
        </w:tc>
        <w:tc>
          <w:tcPr>
            <w:tcW w:w="1606" w:type="dxa"/>
            <w:vAlign w:val="center"/>
          </w:tcPr>
          <w:p w14:paraId="2C44EDCE">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 xml:space="preserve">Kong L*, Li S, Yu X, Fang X, Xu A, Huang M, Wu X, Guo Y, Guo F, Xu J. </w:t>
            </w:r>
          </w:p>
          <w:p w14:paraId="05A963EB">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孔令保*，李珊珊，余希岚，方晓楠，徐阿慧，黄明洁，吴晓玉，郭韫丽，郭逢林，徐晶</w:t>
            </w:r>
          </w:p>
        </w:tc>
        <w:tc>
          <w:tcPr>
            <w:tcW w:w="1190" w:type="dxa"/>
            <w:vAlign w:val="center"/>
          </w:tcPr>
          <w:p w14:paraId="6175023A">
            <w:pPr>
              <w:pStyle w:val="6"/>
              <w:spacing w:before="0" w:beforeAutospacing="0" w:after="0" w:afterAutospacing="0" w:line="400" w:lineRule="exact"/>
              <w:jc w:val="both"/>
              <w:rPr>
                <w:rFonts w:ascii="方正仿宋_GB2312" w:hAnsi="方正仿宋_GB2312" w:eastAsia="方正仿宋_GB2312" w:cs="方正仿宋_GB2312"/>
                <w:bCs/>
                <w:color w:val="333333"/>
                <w:sz w:val="18"/>
                <w:szCs w:val="18"/>
                <w:shd w:val="clear" w:color="auto" w:fill="FFFFFF"/>
              </w:rPr>
            </w:pPr>
            <w:r>
              <w:rPr>
                <w:rFonts w:hint="eastAsia" w:ascii="方正仿宋_GB2312" w:hAnsi="方正仿宋_GB2312" w:eastAsia="方正仿宋_GB2312" w:cs="方正仿宋_GB2312"/>
                <w:bCs/>
                <w:color w:val="000000"/>
                <w:sz w:val="18"/>
                <w:szCs w:val="18"/>
              </w:rPr>
              <w:t xml:space="preserve"> 2016 Aug;161(8):2149-59</w:t>
            </w:r>
          </w:p>
        </w:tc>
        <w:tc>
          <w:tcPr>
            <w:tcW w:w="610" w:type="dxa"/>
            <w:vAlign w:val="center"/>
          </w:tcPr>
          <w:p w14:paraId="0A964F93">
            <w:pPr>
              <w:pStyle w:val="6"/>
              <w:spacing w:before="0" w:beforeAutospacing="0" w:after="0" w:afterAutospacing="0" w:line="400" w:lineRule="exact"/>
              <w:jc w:val="both"/>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 xml:space="preserve"> 2016 Aug</w:t>
            </w:r>
          </w:p>
        </w:tc>
        <w:tc>
          <w:tcPr>
            <w:tcW w:w="610" w:type="dxa"/>
            <w:vAlign w:val="center"/>
          </w:tcPr>
          <w:p w14:paraId="56653E03">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Kong L*</w:t>
            </w:r>
          </w:p>
          <w:p w14:paraId="50B0ED44">
            <w:pPr>
              <w:pStyle w:val="6"/>
              <w:spacing w:before="0" w:beforeAutospacing="0" w:after="0" w:afterAutospacing="0" w:line="400" w:lineRule="exact"/>
              <w:jc w:val="both"/>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孔令保</w:t>
            </w:r>
          </w:p>
        </w:tc>
        <w:tc>
          <w:tcPr>
            <w:tcW w:w="774" w:type="dxa"/>
            <w:vAlign w:val="center"/>
          </w:tcPr>
          <w:p w14:paraId="5E8657DD">
            <w:pPr>
              <w:pStyle w:val="6"/>
              <w:spacing w:before="0" w:beforeAutospacing="0" w:after="0" w:afterAutospacing="0" w:line="400" w:lineRule="exact"/>
              <w:jc w:val="both"/>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Kong L， Li S</w:t>
            </w:r>
          </w:p>
          <w:p w14:paraId="6BCD3248">
            <w:pPr>
              <w:spacing w:line="400" w:lineRule="exact"/>
              <w:rPr>
                <w:rFonts w:ascii="方正仿宋_GB2312" w:hAnsi="方正仿宋_GB2312" w:eastAsia="方正仿宋_GB2312" w:cs="方正仿宋_GB2312"/>
                <w:bCs/>
                <w:color w:val="000000"/>
                <w:sz w:val="18"/>
                <w:szCs w:val="18"/>
              </w:rPr>
            </w:pPr>
            <w:r>
              <w:rPr>
                <w:rFonts w:hint="eastAsia" w:ascii="方正仿宋_GB2312" w:hAnsi="方正仿宋_GB2312" w:eastAsia="方正仿宋_GB2312" w:cs="方正仿宋_GB2312"/>
                <w:bCs/>
                <w:color w:val="000000"/>
                <w:sz w:val="18"/>
                <w:szCs w:val="18"/>
              </w:rPr>
              <w:t>孔令保，李珊珊</w:t>
            </w:r>
          </w:p>
        </w:tc>
        <w:tc>
          <w:tcPr>
            <w:tcW w:w="464" w:type="dxa"/>
            <w:vAlign w:val="center"/>
          </w:tcPr>
          <w:p w14:paraId="79711F61">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11</w:t>
            </w:r>
          </w:p>
        </w:tc>
        <w:tc>
          <w:tcPr>
            <w:tcW w:w="836" w:type="dxa"/>
            <w:vAlign w:val="center"/>
          </w:tcPr>
          <w:p w14:paraId="3660F2AB">
            <w:pPr>
              <w:spacing w:line="400" w:lineRule="exact"/>
              <w:rPr>
                <w:rFonts w:ascii="方正仿宋_GB2312" w:hAnsi="方正仿宋_GB2312" w:eastAsia="方正仿宋_GB2312" w:cs="方正仿宋_GB2312"/>
                <w:bCs/>
                <w:sz w:val="18"/>
                <w:szCs w:val="18"/>
              </w:rPr>
            </w:pPr>
            <w:r>
              <w:rPr>
                <w:rStyle w:val="15"/>
                <w:rFonts w:hint="eastAsia" w:ascii="方正仿宋_GB2312" w:hAnsi="方正仿宋_GB2312" w:eastAsia="方正仿宋_GB2312" w:cs="方正仿宋_GB2312"/>
                <w:bCs/>
                <w:sz w:val="18"/>
                <w:szCs w:val="18"/>
              </w:rPr>
              <w:t>web of science</w:t>
            </w:r>
          </w:p>
        </w:tc>
        <w:tc>
          <w:tcPr>
            <w:tcW w:w="1113" w:type="dxa"/>
            <w:vAlign w:val="center"/>
          </w:tcPr>
          <w:p w14:paraId="79D454E3">
            <w:pPr>
              <w:spacing w:line="400" w:lineRule="exact"/>
              <w:rPr>
                <w:rFonts w:ascii="方正仿宋_GB2312" w:hAnsi="方正仿宋_GB2312" w:eastAsia="方正仿宋_GB2312" w:cs="方正仿宋_GB2312"/>
                <w:bCs/>
                <w:sz w:val="18"/>
                <w:szCs w:val="18"/>
              </w:rPr>
            </w:pPr>
            <w:r>
              <w:rPr>
                <w:rFonts w:hint="eastAsia" w:ascii="方正仿宋_GB2312" w:hAnsi="方正仿宋_GB2312" w:eastAsia="方正仿宋_GB2312" w:cs="方正仿宋_GB2312"/>
                <w:bCs/>
                <w:sz w:val="18"/>
                <w:szCs w:val="18"/>
              </w:rPr>
              <w:t>是</w:t>
            </w:r>
          </w:p>
        </w:tc>
      </w:tr>
      <w:tr w14:paraId="3D52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2" w:type="dxa"/>
            <w:gridSpan w:val="7"/>
          </w:tcPr>
          <w:p w14:paraId="4FB47D02">
            <w:pPr>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他引总次数合计</w:t>
            </w:r>
          </w:p>
        </w:tc>
        <w:tc>
          <w:tcPr>
            <w:tcW w:w="2413" w:type="dxa"/>
            <w:gridSpan w:val="3"/>
          </w:tcPr>
          <w:p w14:paraId="6073F467">
            <w:pPr>
              <w:spacing w:line="400" w:lineRule="exact"/>
              <w:rPr>
                <w:rFonts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148</w:t>
            </w:r>
          </w:p>
        </w:tc>
      </w:tr>
    </w:tbl>
    <w:p w14:paraId="04F69A3F">
      <w:pPr>
        <w:spacing w:line="400" w:lineRule="exact"/>
        <w:ind w:left="270" w:hanging="270" w:hangingChars="150"/>
        <w:rPr>
          <w:rFonts w:ascii="方正仿宋_GB2312" w:hAnsi="方正仿宋_GB2312" w:eastAsia="方正仿宋_GB2312" w:cs="方正仿宋_GB2312"/>
          <w:bCs/>
          <w:color w:val="000000"/>
          <w:sz w:val="18"/>
          <w:szCs w:val="18"/>
        </w:rPr>
      </w:pPr>
    </w:p>
    <w:p w14:paraId="4F478F84">
      <w:pPr>
        <w:spacing w:line="400" w:lineRule="exact"/>
        <w:outlineLvl w:val="1"/>
        <w:rPr>
          <w:rFonts w:hint="eastAsia" w:ascii="仿宋_GB2312" w:hAnsi="方正仿宋_GB2312" w:eastAsia="仿宋_GB2312" w:cs="方正仿宋_GB2312"/>
          <w:b/>
          <w:bCs/>
          <w:sz w:val="28"/>
          <w:szCs w:val="28"/>
        </w:rPr>
      </w:pPr>
      <w:r>
        <w:rPr>
          <w:rFonts w:hint="eastAsia" w:ascii="仿宋_GB2312" w:hAnsi="方正仿宋_GB2312" w:eastAsia="仿宋_GB2312" w:cs="方正仿宋_GB2312"/>
          <w:b/>
          <w:bCs/>
          <w:sz w:val="28"/>
          <w:szCs w:val="28"/>
        </w:rPr>
        <w:t>完成人情况：</w:t>
      </w:r>
    </w:p>
    <w:p w14:paraId="6367E00D">
      <w:pPr>
        <w:numPr>
          <w:ilvl w:val="0"/>
          <w:numId w:val="1"/>
        </w:numPr>
        <w:spacing w:line="400" w:lineRule="exact"/>
        <w:ind w:firstLine="560" w:firstLineChars="2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孔令保：男，江西农业大学生物科学与工程学院教授/博导，南昌市动物病毒与基因工程重点实验室负责人。第1完成人。主要贡献：负责项目总体设计、基金申请、实验指导、部分实验、结果分析与把关、论文撰写（包括任务分工、修改与定稿）等工作。本项目获批国家和省级项目11项（包括提名书填写的5个项目）的主持人（其他附件1）。本项目已发表14篇论文（包括5篇代表性论文）的通讯或第一作者（必备附件1；其他附件9），对应主要科学发现的1-5项和代表性论文的1-5篇。</w:t>
      </w:r>
    </w:p>
    <w:p w14:paraId="2FCB897F">
      <w:pPr>
        <w:numPr>
          <w:ilvl w:val="0"/>
          <w:numId w:val="1"/>
        </w:numPr>
        <w:spacing w:line="400" w:lineRule="exact"/>
        <w:ind w:firstLine="560" w:firstLineChars="2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王婷：女，江西农业大学生物科学与工程学院副教授。第2完成人。主要贡献：乙脑病毒滴度测定的技术指导，乙脑病毒疫苗抗病毒效果检测的技术指导及部分操作，丙肝病毒疫苗诱导抗体的滴度测定和中和实验，乙脑病毒调控内质网应激PERK信号通路的小鼠致病性研究，丙肝病毒蛋白NS4B与细胞蛋白OCIAD2互作相关实验的技术指导及病毒实验的结果分析，论文撰写（材料与方法部分）等工作。代表性论文1和2的并列第一作者（必备附件1），对应主要科学发现的第1项和2项。其它本项目论文中，1篇论文为并列通讯作者（其他附件9），对应主要科学发现的第1项；1篇论文为第四作者（其他附件9），对应主要科学发现的第4项。参与本项目第一完成人主持的省级重点课题1项，市级课题1项（其他附件1）。</w:t>
      </w:r>
    </w:p>
    <w:p w14:paraId="6A8CABF3">
      <w:pPr>
        <w:numPr>
          <w:ilvl w:val="0"/>
          <w:numId w:val="1"/>
        </w:numPr>
        <w:spacing w:line="400" w:lineRule="exact"/>
        <w:ind w:firstLine="560" w:firstLineChars="2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李莎：女，江西农业大学生物科学与工程学院讲师（校聘副教授）。第3完成人。主要贡献：参与乙脑病毒疫苗项目设计、基金申请、负责乙脑病毒基因工程疫苗动物实验（包括细胞免疫诱导和安全性评估等）的技术指导与部分操作、结果分析与验证、乙脑病毒基因工程疫苗论文初稿撰写和后续修改、丙肝病毒蛋白NS4B与细胞蛋白OCIAD2互作位点解析等工作。是代表性论文1的并列通讯作者（必备附件1），对应主要科学发现的第1项。其它本项目论文中，1篇论文为并列通讯作者（其他附件9：论文3），对应主要科学发现的第4项。参与本项目第一完成人主持的省级重点课题1项，市级课题1项（其他附件1）。</w:t>
      </w:r>
    </w:p>
    <w:p w14:paraId="0273DE25">
      <w:pPr>
        <w:numPr>
          <w:ilvl w:val="0"/>
          <w:numId w:val="1"/>
        </w:numPr>
        <w:spacing w:line="400" w:lineRule="exact"/>
        <w:ind w:firstLine="560" w:firstLineChars="2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辛秀：女，江西农业大学讲师。主要贡献：负责乙脑病毒调控内质网应激PERK信号通路课题的技术指导和部分操作（包括细胞培养、病毒扩增、细胞凋亡检测、苏木精-伊红染色等）、乙脑病毒基因工程疫苗课题数据分析与讨论、细胞蛋白OCIAD2调控丙肝病毒复制课题的蛋白互作实验设计。论文修改（前言和讨论部分）等工作。代表性论文2的并列第一作者（必备附件1），对应主要科学发现的第2项。其他本项目论文中，2篇论文为共同作者（其他附件9： 论文1和3），对应主要科学发现的第1项和第4项。参与本项目第一完成人主持的市级课题1项（其他附件1）。</w:t>
      </w:r>
    </w:p>
    <w:p w14:paraId="2F455FF3">
      <w:pPr>
        <w:numPr>
          <w:ilvl w:val="0"/>
          <w:numId w:val="1"/>
        </w:numPr>
        <w:spacing w:line="400" w:lineRule="exact"/>
        <w:ind w:firstLine="560" w:firstLineChars="2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郭韫丽：女，江西农业大学副研究馆员，生物学科馆员。第5完成人。主要贡献：参与基金申请、负责文献收集、参与数据整理、负责数据统计及分析、参与论文撰写等工作。作为主要成员参与本项目第一完成人获批的国家和省级项目9项（包括提名书填写的4个项目）（其他附件1）。5篇论文（包括代表性论文2-5）和3个国家发明专利的共同作者（必备附件1，其他附件2），对应主要科学发现的1-5项。</w:t>
      </w:r>
    </w:p>
    <w:p w14:paraId="030EEB26">
      <w:pPr>
        <w:spacing w:line="400" w:lineRule="exact"/>
        <w:rPr>
          <w:rFonts w:ascii="方正仿宋_GB2312" w:hAnsi="方正仿宋_GB2312" w:eastAsia="方正仿宋_GB2312" w:cs="方正仿宋_GB2312"/>
          <w:sz w:val="28"/>
          <w:szCs w:val="28"/>
          <w:highlight w:val="yellow"/>
        </w:rPr>
      </w:pPr>
    </w:p>
    <w:p w14:paraId="11D02914">
      <w:pPr>
        <w:spacing w:line="400" w:lineRule="exact"/>
        <w:rPr>
          <w:rFonts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完成单位情况：</w:t>
      </w:r>
    </w:p>
    <w:p w14:paraId="434D8007">
      <w:pPr>
        <w:spacing w:line="400" w:lineRule="exact"/>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rPr>
        <w:t xml:space="preserve">   </w:t>
      </w:r>
      <w:r>
        <w:rPr>
          <w:rFonts w:hint="eastAsia" w:ascii="方正仿宋_GB2312" w:hAnsi="方正仿宋_GB2312" w:eastAsia="方正仿宋_GB2312" w:cs="方正仿宋_GB2312"/>
          <w:sz w:val="28"/>
          <w:szCs w:val="28"/>
        </w:rPr>
        <w:t>江西农业大学，排名第一，是本项目5名完成人的工作单位，为本项目完成提供了全方位的支持包括科技平台、管理服务、部分经费资助等。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1" w:fontKey="{B670AC5E-0153-4CB6-BE96-3974FC8F1917}"/>
  </w:font>
  <w:font w:name="方正仿宋_GB2312">
    <w:altName w:val="仿宋"/>
    <w:panose1 w:val="00000000000000000000"/>
    <w:charset w:val="86"/>
    <w:family w:val="auto"/>
    <w:pitch w:val="default"/>
    <w:sig w:usb0="00000000" w:usb1="00000000" w:usb2="00000012" w:usb3="00000000" w:csb0="00040001" w:csb1="00000000"/>
    <w:embedRegular r:id="rId2" w:fontKey="{5F51EE3C-D631-46AC-A84C-1B553ECDB60C}"/>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0C61"/>
    <w:multiLevelType w:val="singleLevel"/>
    <w:tmpl w:val="92390C6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1YTY2YjFjNjU1MDE1ODI0MmViMTlkNWVjYjBkZWIifQ=="/>
  </w:docVars>
  <w:rsids>
    <w:rsidRoot w:val="008472D7"/>
    <w:rsid w:val="000101B2"/>
    <w:rsid w:val="0004295E"/>
    <w:rsid w:val="000C6ACE"/>
    <w:rsid w:val="001152C0"/>
    <w:rsid w:val="00155775"/>
    <w:rsid w:val="0041609E"/>
    <w:rsid w:val="00452E66"/>
    <w:rsid w:val="0045303C"/>
    <w:rsid w:val="004F51CD"/>
    <w:rsid w:val="00506C12"/>
    <w:rsid w:val="00642D55"/>
    <w:rsid w:val="00717098"/>
    <w:rsid w:val="007F45A6"/>
    <w:rsid w:val="008472D7"/>
    <w:rsid w:val="009575E5"/>
    <w:rsid w:val="009849E7"/>
    <w:rsid w:val="009F7F9E"/>
    <w:rsid w:val="00A54D0B"/>
    <w:rsid w:val="00A90595"/>
    <w:rsid w:val="00C52FFE"/>
    <w:rsid w:val="00CC73E6"/>
    <w:rsid w:val="00CD2673"/>
    <w:rsid w:val="00CD37A3"/>
    <w:rsid w:val="00E853A2"/>
    <w:rsid w:val="00EC3E08"/>
    <w:rsid w:val="00F53EA6"/>
    <w:rsid w:val="00F83BB1"/>
    <w:rsid w:val="02DC66C8"/>
    <w:rsid w:val="08CD0AC4"/>
    <w:rsid w:val="0CD26E91"/>
    <w:rsid w:val="0D433444"/>
    <w:rsid w:val="0DBD71B6"/>
    <w:rsid w:val="0F963226"/>
    <w:rsid w:val="107111E1"/>
    <w:rsid w:val="10E96574"/>
    <w:rsid w:val="136F7F1D"/>
    <w:rsid w:val="15527192"/>
    <w:rsid w:val="16726C02"/>
    <w:rsid w:val="188D268C"/>
    <w:rsid w:val="19D33304"/>
    <w:rsid w:val="1C597F1C"/>
    <w:rsid w:val="1CD83665"/>
    <w:rsid w:val="1DD079A6"/>
    <w:rsid w:val="1F8536BE"/>
    <w:rsid w:val="232C1CB5"/>
    <w:rsid w:val="234B0591"/>
    <w:rsid w:val="23D65F04"/>
    <w:rsid w:val="241F2D99"/>
    <w:rsid w:val="2D0466EF"/>
    <w:rsid w:val="2F041F2F"/>
    <w:rsid w:val="2F0A2969"/>
    <w:rsid w:val="2F5F593B"/>
    <w:rsid w:val="2F667C8F"/>
    <w:rsid w:val="2FC57AA7"/>
    <w:rsid w:val="32041F7E"/>
    <w:rsid w:val="3226541C"/>
    <w:rsid w:val="32E91A64"/>
    <w:rsid w:val="34503A45"/>
    <w:rsid w:val="347B1A3B"/>
    <w:rsid w:val="36D117DD"/>
    <w:rsid w:val="38741F0E"/>
    <w:rsid w:val="399B4196"/>
    <w:rsid w:val="3A592EF0"/>
    <w:rsid w:val="3C56336F"/>
    <w:rsid w:val="3CDE2796"/>
    <w:rsid w:val="3F9023C7"/>
    <w:rsid w:val="438D35F8"/>
    <w:rsid w:val="4490140D"/>
    <w:rsid w:val="475E56BE"/>
    <w:rsid w:val="480E3A52"/>
    <w:rsid w:val="488B1275"/>
    <w:rsid w:val="4B7A5635"/>
    <w:rsid w:val="4E187282"/>
    <w:rsid w:val="4F9931B7"/>
    <w:rsid w:val="52AB7DDB"/>
    <w:rsid w:val="53806B21"/>
    <w:rsid w:val="56CD1663"/>
    <w:rsid w:val="57C011AC"/>
    <w:rsid w:val="59D73F67"/>
    <w:rsid w:val="5AD16A7C"/>
    <w:rsid w:val="5CE12468"/>
    <w:rsid w:val="5FA0536D"/>
    <w:rsid w:val="628526F0"/>
    <w:rsid w:val="64656E5C"/>
    <w:rsid w:val="64F27A3F"/>
    <w:rsid w:val="69784D84"/>
    <w:rsid w:val="6A022D95"/>
    <w:rsid w:val="6EE175F6"/>
    <w:rsid w:val="6F8400EB"/>
    <w:rsid w:val="6FAA3656"/>
    <w:rsid w:val="73124222"/>
    <w:rsid w:val="73203BD2"/>
    <w:rsid w:val="73520AC2"/>
    <w:rsid w:val="73CF65DB"/>
    <w:rsid w:val="7A9455C5"/>
    <w:rsid w:val="7ECC6A9D"/>
    <w:rsid w:val="7EDC3AD6"/>
    <w:rsid w:val="7F5B4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 w:type="character" w:styleId="11">
    <w:name w:val="Hyperlink"/>
    <w:semiHidden/>
    <w:unhideWhenUsed/>
    <w:qFormat/>
    <w:uiPriority w:val="0"/>
    <w:rPr>
      <w:color w:val="0000FF"/>
      <w:u w:val="single"/>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jrnl"/>
    <w:basedOn w:val="9"/>
    <w:qFormat/>
    <w:uiPriority w:val="0"/>
  </w:style>
  <w:style w:type="character" w:customStyle="1" w:styleId="15">
    <w:name w:val="rStyle4"/>
    <w:qFormat/>
    <w:uiPriority w:val="0"/>
    <w:rPr>
      <w:sz w:val="21"/>
      <w:szCs w:val="21"/>
    </w:rPr>
  </w:style>
  <w:style w:type="character" w:customStyle="1" w:styleId="16">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3330</Words>
  <Characters>4421</Characters>
  <Lines>33</Lines>
  <Paragraphs>9</Paragraphs>
  <TotalTime>1</TotalTime>
  <ScaleCrop>false</ScaleCrop>
  <LinksUpToDate>false</LinksUpToDate>
  <CharactersWithSpaces>4691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2022-08-18T07:25:00Z</dcterms:created>
  <dc:creator>userName</dc:creator>
  <cp:lastModifiedBy>111</cp:lastModifiedBy>
  <dcterms:modified xsi:type="dcterms:W3CDTF">2024-12-14T02:33:17Z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29867ABB8EAB404B82F9019AB8E32722</vt:lpwstr>
  </property>
</Properties>
</file>