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3C79E">
      <w:pPr>
        <w:spacing w:before="156" w:beforeLines="50" w:after="156" w:afterLines="50" w:line="360" w:lineRule="exact"/>
        <w:jc w:val="both"/>
        <w:rPr>
          <w:rFonts w:ascii="仿宋_GB2312" w:hAnsi="Times New Roman" w:eastAsia="仿宋_GB2312"/>
          <w:sz w:val="28"/>
          <w:szCs w:val="28"/>
        </w:rPr>
      </w:pPr>
      <w:r>
        <w:rPr>
          <w:rFonts w:hint="eastAsia" w:ascii="仿宋_GB2312" w:hAnsi="Times New Roman" w:eastAsia="仿宋_GB2312"/>
          <w:b/>
          <w:bCs/>
          <w:sz w:val="28"/>
          <w:szCs w:val="28"/>
        </w:rPr>
        <w:t>项目名称：</w:t>
      </w:r>
      <w:r>
        <w:rPr>
          <w:rFonts w:hint="eastAsia" w:ascii="仿宋_GB2312" w:hAnsi="Times New Roman" w:eastAsia="仿宋_GB2312"/>
          <w:sz w:val="28"/>
          <w:szCs w:val="28"/>
        </w:rPr>
        <w:t>典型全氟化合物替代品对水生生物多生命阶段的健康风险及分子机制</w:t>
      </w:r>
    </w:p>
    <w:p w14:paraId="1910794D">
      <w:pPr>
        <w:spacing w:before="156" w:beforeLines="50" w:after="156" w:afterLines="50" w:line="360" w:lineRule="exact"/>
        <w:jc w:val="both"/>
        <w:rPr>
          <w:rFonts w:ascii="仿宋_GB2312" w:hAnsi="Times New Roman" w:eastAsia="仿宋_GB2312"/>
          <w:sz w:val="28"/>
          <w:szCs w:val="28"/>
        </w:rPr>
      </w:pPr>
      <w:r>
        <w:rPr>
          <w:rFonts w:hint="eastAsia" w:ascii="仿宋_GB2312" w:hAnsi="Times New Roman" w:eastAsia="仿宋_GB2312"/>
          <w:b/>
          <w:bCs/>
          <w:sz w:val="28"/>
          <w:szCs w:val="28"/>
        </w:rPr>
        <w:t>提名者：</w:t>
      </w:r>
      <w:r>
        <w:rPr>
          <w:rFonts w:hint="eastAsia" w:ascii="仿宋_GB2312" w:hAnsi="Times New Roman" w:eastAsia="仿宋_GB2312"/>
          <w:sz w:val="28"/>
          <w:szCs w:val="28"/>
        </w:rPr>
        <w:t>江西省教育厅</w:t>
      </w:r>
    </w:p>
    <w:p w14:paraId="3038FF1C">
      <w:pPr>
        <w:spacing w:before="156" w:beforeLines="50" w:after="156" w:afterLines="50" w:line="360" w:lineRule="exact"/>
        <w:jc w:val="both"/>
        <w:rPr>
          <w:rFonts w:ascii="仿宋_GB2312" w:hAnsi="Times New Roman" w:eastAsia="仿宋_GB2312"/>
          <w:b/>
          <w:bCs/>
          <w:sz w:val="28"/>
          <w:szCs w:val="28"/>
        </w:rPr>
      </w:pPr>
      <w:r>
        <w:rPr>
          <w:rFonts w:hint="eastAsia" w:ascii="仿宋_GB2312" w:hAnsi="Times New Roman" w:eastAsia="仿宋_GB2312"/>
          <w:b/>
          <w:bCs/>
          <w:sz w:val="28"/>
          <w:szCs w:val="28"/>
        </w:rPr>
        <w:t>提名意见：</w:t>
      </w:r>
    </w:p>
    <w:p w14:paraId="16DF7C5C">
      <w:pPr>
        <w:spacing w:before="156" w:beforeLines="50" w:after="156" w:afterLines="50" w:line="540" w:lineRule="exact"/>
        <w:ind w:firstLine="420" w:firstLineChars="150"/>
        <w:jc w:val="both"/>
        <w:rPr>
          <w:rFonts w:ascii="仿宋_GB2312" w:hAnsi="Times New Roman" w:eastAsia="仿宋_GB2312"/>
          <w:sz w:val="28"/>
          <w:szCs w:val="28"/>
        </w:rPr>
      </w:pPr>
      <w:r>
        <w:rPr>
          <w:rFonts w:hint="eastAsia" w:ascii="仿宋_GB2312" w:hAnsi="Times New Roman" w:eastAsia="仿宋_GB2312"/>
          <w:sz w:val="28"/>
          <w:szCs w:val="28"/>
        </w:rPr>
        <w:t>该项目针对典型全氟化合物替代品的生物累积规律、毒性效应评价及其与微塑料的复合毒性等关键科学问题开展了系统深入的研究，揭示了这些替代品在斑马鱼多生命阶段的生物累积特征，阐明了</w:t>
      </w:r>
      <w:r>
        <w:rPr>
          <w:rFonts w:ascii="仿宋_GB2312" w:hAnsi="Times New Roman" w:eastAsia="仿宋_GB2312"/>
          <w:sz w:val="28"/>
          <w:szCs w:val="28"/>
        </w:rPr>
        <w:t>F-53B和OBS等替代品诱导斑马鱼发育毒性的内分泌干扰、代谢紊乱和免疫损伤的关键靶点、生物标志物和致病通路，并率先发现了微塑料可显著抑制F-53B在鱼体内的富集，对免疫系统存在协同致毒作用，研究工作丰富并深化了对全氟化合物替代品环境健康风险的认知。项目的5篇代表性论文均发表在环境领域JCR一区期刊，总他引334次，得到国内外多名院士的广</w:t>
      </w:r>
      <w:r>
        <w:rPr>
          <w:rFonts w:hint="eastAsia" w:ascii="仿宋_GB2312" w:hAnsi="Times New Roman" w:eastAsia="仿宋_GB2312"/>
          <w:sz w:val="28"/>
          <w:szCs w:val="28"/>
        </w:rPr>
        <w:t>泛引用和高度评价。</w:t>
      </w:r>
    </w:p>
    <w:p w14:paraId="49507B97">
      <w:pPr>
        <w:spacing w:before="156" w:beforeLines="50" w:after="156" w:afterLines="50" w:line="540" w:lineRule="exact"/>
        <w:jc w:val="both"/>
        <w:rPr>
          <w:rFonts w:ascii="仿宋_GB2312" w:hAnsi="Times New Roman" w:eastAsia="仿宋_GB2312"/>
          <w:sz w:val="28"/>
          <w:szCs w:val="28"/>
        </w:rPr>
      </w:pPr>
      <w:r>
        <w:rPr>
          <w:rFonts w:hint="eastAsia" w:ascii="仿宋_GB2312" w:hAnsi="Times New Roman" w:eastAsia="仿宋_GB2312"/>
          <w:b/>
          <w:bCs/>
          <w:sz w:val="28"/>
          <w:szCs w:val="28"/>
        </w:rPr>
        <w:t>提名等级：</w:t>
      </w:r>
      <w:r>
        <w:rPr>
          <w:rFonts w:hint="eastAsia" w:ascii="仿宋_GB2312" w:hAnsi="Times New Roman" w:eastAsia="仿宋_GB2312"/>
          <w:sz w:val="28"/>
          <w:szCs w:val="28"/>
        </w:rPr>
        <w:t>江西省自然科学奖一等奖</w:t>
      </w:r>
    </w:p>
    <w:p w14:paraId="6C406AE9">
      <w:pPr>
        <w:spacing w:before="156" w:beforeLines="50" w:after="156" w:afterLines="50" w:line="540" w:lineRule="exact"/>
        <w:jc w:val="both"/>
        <w:rPr>
          <w:rFonts w:ascii="仿宋_GB2312" w:hAnsi="Times New Roman" w:eastAsia="仿宋_GB2312"/>
          <w:b/>
          <w:bCs/>
          <w:sz w:val="28"/>
          <w:szCs w:val="28"/>
        </w:rPr>
      </w:pPr>
      <w:r>
        <w:rPr>
          <w:rFonts w:hint="eastAsia" w:ascii="仿宋_GB2312" w:hAnsi="Times New Roman" w:eastAsia="仿宋_GB2312"/>
          <w:b/>
          <w:bCs/>
          <w:sz w:val="28"/>
          <w:szCs w:val="28"/>
        </w:rPr>
        <w:t>项目简介：</w:t>
      </w:r>
    </w:p>
    <w:p w14:paraId="75153D4B">
      <w:pPr>
        <w:spacing w:before="156" w:beforeLines="50" w:after="156" w:afterLines="50" w:line="540" w:lineRule="exact"/>
        <w:ind w:firstLine="560" w:firstLineChars="200"/>
        <w:jc w:val="both"/>
        <w:rPr>
          <w:rFonts w:ascii="仿宋_GB2312" w:hAnsi="Times New Roman" w:eastAsia="仿宋_GB2312"/>
          <w:b/>
          <w:bCs/>
          <w:sz w:val="28"/>
          <w:szCs w:val="28"/>
        </w:rPr>
      </w:pPr>
      <w:r>
        <w:rPr>
          <w:rFonts w:hint="eastAsia" w:ascii="仿宋_GB2312" w:hAnsi="Times New Roman" w:eastAsia="仿宋_GB2312"/>
          <w:sz w:val="28"/>
          <w:szCs w:val="28"/>
        </w:rPr>
        <w:t>本项目属于环境毒理学领域的研究成果。随着全球范围内对传统全氟化合物PFOS等的限制使用，以F-53B和OBS为代表的新型全氟化合物替代品迅速发展，但其生物累积规律和生态风险尚不清楚，对其毒理效应与机制的认知严重滞后。本项目以典型全氟化合物替代品的环境健康风险评估为导向，从分子到整体、从胚胎到成体、从单一到复合污染等多个层面系统开展研究，取得如下创新成果：一、建立了典型全氟化合物替代品的超灵敏分析方法，获得其在斑马鱼多生命阶段的生物累积规律，揭示了微塑料对其富集的显著抑制效应，为认识其在水生食物链中的迁移转化提供重要理论基础。二、构建了典型全氟化合物替代品对斑马鱼多生命阶段的毒性效应谱，揭示其对斑马鱼内分泌、代谢和免疫系统的干扰效应，阐明了其与微塑料的免疫毒性协同作用。三、从分子水平解析了典型全氟化合物替代品诱发斑马鱼发育毒性的内分泌干扰、代谢紊乱和免疫损伤的关键靶点分子、生物标志物和致病通路，构建了其毒性作用机理图谱。研究成果在全氟化合物替代品的生物累积规律、毒性效应及分子机制等方面取得了原创性突破，为精准评估其环境健康风险提供了新思路和方法。5篇代表性论文均发表在环境科学与毒理学领域的JCR一区Top期刊，总他引334次。成果得到国内外相关领域知名学者的广泛引用和高度评价，对深入认识新型全氟化合物替代品的环境健康风险、指导其污染防控与管理具有重要科学意义和应用价值。</w:t>
      </w:r>
    </w:p>
    <w:p w14:paraId="0B11A192">
      <w:pPr>
        <w:spacing w:before="156" w:beforeLines="50" w:after="156" w:afterLines="50" w:line="360" w:lineRule="exact"/>
        <w:jc w:val="both"/>
        <w:rPr>
          <w:rFonts w:ascii="仿宋_GB2312" w:hAnsi="Times New Roman" w:eastAsia="仿宋_GB2312"/>
          <w:sz w:val="28"/>
          <w:szCs w:val="28"/>
        </w:rPr>
      </w:pPr>
      <w:r>
        <w:rPr>
          <w:rFonts w:hint="eastAsia" w:ascii="仿宋_GB2312" w:hAnsi="Times New Roman" w:eastAsia="仿宋_GB2312"/>
          <w:b/>
          <w:bCs/>
          <w:sz w:val="28"/>
          <w:szCs w:val="28"/>
        </w:rPr>
        <w:t>代表性论文专著目录</w:t>
      </w:r>
      <w:r>
        <w:rPr>
          <w:rFonts w:hint="eastAsia" w:ascii="仿宋_GB2312" w:hAnsi="Times New Roman" w:eastAsia="仿宋_GB2312"/>
          <w:sz w:val="28"/>
          <w:szCs w:val="28"/>
        </w:rPr>
        <w:t>：</w:t>
      </w:r>
    </w:p>
    <w:p w14:paraId="2218DA13">
      <w:pPr>
        <w:pStyle w:val="8"/>
        <w:numPr>
          <w:ilvl w:val="0"/>
          <w:numId w:val="1"/>
        </w:numPr>
        <w:spacing w:before="156" w:beforeLines="50" w:after="156" w:afterLines="50" w:line="360" w:lineRule="exact"/>
        <w:ind w:left="0" w:firstLine="560" w:firstLineChars="200"/>
        <w:rPr>
          <w:rFonts w:ascii="仿宋_GB2312" w:hAnsi="Times New Roman" w:eastAsia="仿宋_GB2312"/>
          <w:sz w:val="28"/>
          <w:szCs w:val="28"/>
        </w:rPr>
      </w:pPr>
      <w:r>
        <w:rPr>
          <w:rFonts w:hint="eastAsia" w:ascii="仿宋_GB2312" w:hAnsi="Times New Roman" w:eastAsia="仿宋_GB2312"/>
          <w:sz w:val="28"/>
          <w:szCs w:val="28"/>
        </w:rPr>
        <w:t xml:space="preserve">Wenqing Tu, Rubén Martínez, Laia Navarro-Martín, Daniel J. Kostyniuk, Christine Hum, Jing Huang, Mi Deng, Yuanxiang Jin, Hing Man Chan, Jan Alexander Mennigen*. Bioconcentration and metabolic effects of emerging PFOS alternatives in developing zebrafish. </w:t>
      </w:r>
      <w:r>
        <w:rPr>
          <w:rFonts w:hint="eastAsia" w:ascii="仿宋_GB2312" w:hAnsi="Times New Roman" w:eastAsia="仿宋_GB2312"/>
          <w:i/>
          <w:iCs/>
          <w:sz w:val="28"/>
          <w:szCs w:val="28"/>
        </w:rPr>
        <w:t>Environ Sci Technol</w:t>
      </w:r>
      <w:r>
        <w:rPr>
          <w:rFonts w:hint="eastAsia" w:ascii="仿宋_GB2312" w:hAnsi="Times New Roman" w:eastAsia="仿宋_GB2312"/>
          <w:sz w:val="28"/>
          <w:szCs w:val="28"/>
        </w:rPr>
        <w:t xml:space="preserve"> 2019, 53: 13427-13439.</w:t>
      </w:r>
    </w:p>
    <w:p w14:paraId="2E72E1AC">
      <w:pPr>
        <w:pStyle w:val="8"/>
        <w:numPr>
          <w:ilvl w:val="0"/>
          <w:numId w:val="1"/>
        </w:numPr>
        <w:spacing w:before="156" w:beforeLines="50" w:after="156" w:afterLines="50" w:line="360" w:lineRule="exact"/>
        <w:ind w:left="0" w:firstLine="560" w:firstLineChars="200"/>
        <w:rPr>
          <w:rFonts w:ascii="仿宋_GB2312" w:hAnsi="Times New Roman" w:eastAsia="仿宋_GB2312"/>
          <w:sz w:val="28"/>
          <w:szCs w:val="28"/>
        </w:rPr>
      </w:pPr>
      <w:r>
        <w:rPr>
          <w:rFonts w:hint="eastAsia" w:ascii="仿宋_GB2312" w:hAnsi="Times New Roman" w:eastAsia="仿宋_GB2312"/>
          <w:sz w:val="28"/>
          <w:szCs w:val="28"/>
        </w:rPr>
        <w:t xml:space="preserve">Jing Huang, Qiyu Wang, Shuai Liu*, Hong Lai, Wenqing Tu*. Comparative chronic toxicities of PFOS and its novel alternatives on the immune system associated with intestinal microbiota dysbiosis in adult zebrafish. </w:t>
      </w:r>
      <w:r>
        <w:rPr>
          <w:rFonts w:hint="eastAsia" w:ascii="仿宋_GB2312" w:hAnsi="Times New Roman" w:eastAsia="仿宋_GB2312"/>
          <w:i/>
          <w:iCs/>
          <w:sz w:val="28"/>
          <w:szCs w:val="28"/>
        </w:rPr>
        <w:t>J Hazard Mater</w:t>
      </w:r>
      <w:r>
        <w:rPr>
          <w:rFonts w:hint="eastAsia" w:ascii="仿宋_GB2312" w:hAnsi="Times New Roman" w:eastAsia="仿宋_GB2312"/>
          <w:sz w:val="28"/>
          <w:szCs w:val="28"/>
        </w:rPr>
        <w:t xml:space="preserve"> 2022, 425: 127950.</w:t>
      </w:r>
    </w:p>
    <w:p w14:paraId="08484400">
      <w:pPr>
        <w:pStyle w:val="8"/>
        <w:numPr>
          <w:ilvl w:val="0"/>
          <w:numId w:val="1"/>
        </w:numPr>
        <w:spacing w:before="156" w:beforeLines="50" w:after="156" w:afterLines="50" w:line="360" w:lineRule="exact"/>
        <w:ind w:left="0" w:firstLine="560" w:firstLineChars="200"/>
        <w:rPr>
          <w:rFonts w:ascii="仿宋_GB2312" w:hAnsi="Times New Roman" w:eastAsia="仿宋_GB2312"/>
          <w:sz w:val="28"/>
          <w:szCs w:val="28"/>
        </w:rPr>
      </w:pPr>
      <w:r>
        <w:rPr>
          <w:rFonts w:hint="eastAsia" w:ascii="仿宋_GB2312" w:hAnsi="Times New Roman" w:eastAsia="仿宋_GB2312"/>
          <w:sz w:val="28"/>
          <w:szCs w:val="28"/>
        </w:rPr>
        <w:t xml:space="preserve">Mi Deng, Yongming Wu, Chao Xu, Yuanxiang Jin, Xiaoli He, Jinbao Wan*, Xiaoling Yu, Hongming Rao, Wenqing Tu*. Multiple approaches to assess the effects of F-53B, a Chinese PFOS alternative, on thyroid endocrine disruption at environmentally relevant concentrations. </w:t>
      </w:r>
      <w:r>
        <w:rPr>
          <w:rFonts w:hint="eastAsia" w:ascii="仿宋_GB2312" w:hAnsi="Times New Roman" w:eastAsia="仿宋_GB2312"/>
          <w:i/>
          <w:iCs/>
          <w:sz w:val="28"/>
          <w:szCs w:val="28"/>
        </w:rPr>
        <w:t>Sci Total Environ</w:t>
      </w:r>
      <w:r>
        <w:rPr>
          <w:rFonts w:hint="eastAsia" w:ascii="仿宋_GB2312" w:hAnsi="Times New Roman" w:eastAsia="仿宋_GB2312"/>
          <w:sz w:val="28"/>
          <w:szCs w:val="28"/>
        </w:rPr>
        <w:t xml:space="preserve"> 2018, 624: 215-224.</w:t>
      </w:r>
    </w:p>
    <w:p w14:paraId="57657689">
      <w:pPr>
        <w:pStyle w:val="8"/>
        <w:numPr>
          <w:ilvl w:val="0"/>
          <w:numId w:val="1"/>
        </w:numPr>
        <w:spacing w:before="156" w:beforeLines="50" w:after="156" w:afterLines="50" w:line="360" w:lineRule="exact"/>
        <w:ind w:left="0" w:firstLine="560" w:firstLineChars="200"/>
        <w:rPr>
          <w:rFonts w:ascii="仿宋_GB2312" w:hAnsi="Times New Roman" w:eastAsia="仿宋_GB2312"/>
          <w:sz w:val="28"/>
          <w:szCs w:val="28"/>
        </w:rPr>
      </w:pPr>
      <w:r>
        <w:rPr>
          <w:rFonts w:hint="eastAsia" w:ascii="仿宋_GB2312" w:hAnsi="Times New Roman" w:eastAsia="仿宋_GB2312"/>
          <w:sz w:val="28"/>
          <w:szCs w:val="28"/>
        </w:rPr>
        <w:t xml:space="preserve">Huilin Yang, Hong Lai, Jing Huang, Liwei Sun, Jan Alexander Mennigen, Qiyu Wang, Yu Liu, Yuanxiang Jin*, Wenqing Tu*. Polystyrene microplastics decrease F-53B bioaccumulation but induce inflammatory stress in larval zebrafish. </w:t>
      </w:r>
      <w:r>
        <w:rPr>
          <w:rFonts w:hint="eastAsia" w:ascii="仿宋_GB2312" w:hAnsi="Times New Roman" w:eastAsia="仿宋_GB2312"/>
          <w:i/>
          <w:iCs/>
          <w:sz w:val="28"/>
          <w:szCs w:val="28"/>
        </w:rPr>
        <w:t>Chemosphere</w:t>
      </w:r>
      <w:r>
        <w:rPr>
          <w:rFonts w:hint="eastAsia" w:ascii="仿宋_GB2312" w:hAnsi="Times New Roman" w:eastAsia="仿宋_GB2312"/>
          <w:sz w:val="28"/>
          <w:szCs w:val="28"/>
        </w:rPr>
        <w:t xml:space="preserve"> 2020, 255: 127040.</w:t>
      </w:r>
    </w:p>
    <w:p w14:paraId="5D2EAA9F">
      <w:pPr>
        <w:pStyle w:val="8"/>
        <w:numPr>
          <w:ilvl w:val="0"/>
          <w:numId w:val="1"/>
        </w:numPr>
        <w:spacing w:before="156" w:beforeLines="50" w:after="156" w:afterLines="50" w:line="360" w:lineRule="exact"/>
        <w:ind w:left="0" w:firstLine="560" w:firstLineChars="200"/>
        <w:rPr>
          <w:rFonts w:ascii="仿宋_GB2312" w:hAnsi="Times New Roman" w:eastAsia="仿宋_GB2312"/>
          <w:sz w:val="28"/>
          <w:szCs w:val="28"/>
        </w:rPr>
      </w:pPr>
      <w:r>
        <w:rPr>
          <w:rFonts w:hint="eastAsia" w:ascii="仿宋_GB2312" w:hAnsi="Times New Roman" w:eastAsia="仿宋_GB2312"/>
          <w:sz w:val="28"/>
          <w:szCs w:val="28"/>
        </w:rPr>
        <w:t xml:space="preserve">Yongming Wu, Mi Deng, Yuanxiang Jin, Xin Liu, Zhaohuan Mai, Hailin You, Xiyan Mu, Xiaoli He, Reem Alharthi, Daniel Joseph Kostyniuk, Chunyan Yang, Wenqing Tu*. Toxicokinetics and toxic effects of a Chinese PFOS alternative F-53B in adult zebrafish. </w:t>
      </w:r>
      <w:r>
        <w:rPr>
          <w:rFonts w:hint="eastAsia" w:ascii="仿宋_GB2312" w:hAnsi="Times New Roman" w:eastAsia="仿宋_GB2312"/>
          <w:i/>
          <w:iCs/>
          <w:sz w:val="28"/>
          <w:szCs w:val="28"/>
        </w:rPr>
        <w:t>Ecotoxicol Environ Saf</w:t>
      </w:r>
      <w:r>
        <w:rPr>
          <w:rFonts w:hint="eastAsia" w:ascii="仿宋_GB2312" w:hAnsi="Times New Roman" w:eastAsia="仿宋_GB2312"/>
          <w:sz w:val="28"/>
          <w:szCs w:val="28"/>
        </w:rPr>
        <w:t xml:space="preserve"> 2019, 171: 460-466.</w:t>
      </w:r>
    </w:p>
    <w:p w14:paraId="5A59B63E">
      <w:pPr>
        <w:spacing w:before="156" w:beforeLines="50" w:after="156" w:afterLines="50" w:line="360" w:lineRule="exact"/>
        <w:jc w:val="both"/>
        <w:rPr>
          <w:rFonts w:ascii="仿宋_GB2312" w:hAnsi="Times New Roman" w:eastAsia="仿宋_GB2312"/>
          <w:b/>
          <w:bCs/>
          <w:sz w:val="28"/>
          <w:szCs w:val="28"/>
        </w:rPr>
      </w:pPr>
      <w:r>
        <w:rPr>
          <w:rFonts w:hint="eastAsia" w:ascii="仿宋_GB2312" w:hAnsi="Times New Roman" w:eastAsia="仿宋_GB2312"/>
          <w:b/>
          <w:bCs/>
          <w:sz w:val="28"/>
          <w:szCs w:val="28"/>
        </w:rPr>
        <w:t>完成人（完成单位）情况：</w:t>
      </w:r>
    </w:p>
    <w:p w14:paraId="0F9DC00A">
      <w:pPr>
        <w:spacing w:line="540" w:lineRule="exact"/>
        <w:rPr>
          <w:rFonts w:ascii="仿宋_GB2312" w:hAnsi="Times New Roman" w:eastAsia="仿宋_GB2312"/>
          <w:sz w:val="28"/>
          <w:szCs w:val="28"/>
        </w:rPr>
      </w:pPr>
      <w:r>
        <w:rPr>
          <w:rFonts w:hint="eastAsia" w:ascii="仿宋_GB2312" w:hAnsi="Times New Roman" w:eastAsia="仿宋_GB2312"/>
          <w:sz w:val="28"/>
          <w:szCs w:val="28"/>
        </w:rPr>
        <w:t>1、涂文清，排名第一，教授。工作单位：江西农业大学；完成单位：江西省科学院微生物研究所。提出项目总体研究思路和具体研究方案，对项目“重要科学发现”中第1-3项均做出了创造性贡献，是代表性论文1的第一作者和代表性论文2、3、4、5的通讯作者。</w:t>
      </w:r>
    </w:p>
    <w:p w14:paraId="5C66BE23">
      <w:pPr>
        <w:spacing w:line="540" w:lineRule="exact"/>
        <w:rPr>
          <w:rFonts w:ascii="仿宋_GB2312" w:hAnsi="Times New Roman" w:eastAsia="仿宋_GB2312"/>
          <w:sz w:val="28"/>
          <w:szCs w:val="28"/>
        </w:rPr>
      </w:pPr>
      <w:r>
        <w:rPr>
          <w:rFonts w:hint="eastAsia" w:ascii="仿宋_GB2312" w:hAnsi="Times New Roman" w:eastAsia="仿宋_GB2312"/>
          <w:sz w:val="28"/>
          <w:szCs w:val="28"/>
        </w:rPr>
        <w:t>2、靳远祥，排名第二，教授。工作单位：浙江工业大学；完成单位：浙江工业大学。对项目“重要科学发现”中第1-3项均做出了重要贡献，是代表性论文4的通讯作者和代表性论文1、3、5的主要作者。</w:t>
      </w:r>
    </w:p>
    <w:p w14:paraId="5D07172C">
      <w:pPr>
        <w:spacing w:line="540" w:lineRule="exact"/>
        <w:rPr>
          <w:rFonts w:ascii="仿宋_GB2312" w:hAnsi="Times New Roman" w:eastAsia="仿宋_GB2312"/>
          <w:sz w:val="28"/>
          <w:szCs w:val="28"/>
        </w:rPr>
      </w:pPr>
      <w:r>
        <w:rPr>
          <w:rFonts w:hint="eastAsia" w:ascii="仿宋_GB2312" w:hAnsi="Times New Roman" w:eastAsia="仿宋_GB2312"/>
          <w:sz w:val="28"/>
          <w:szCs w:val="28"/>
        </w:rPr>
        <w:t>3、邓觅，排名第三，副研究员。工作单位：江西省科学院微生物研究所；完成单位：江西省科学院微生物研究所。对项目“重要科学发现”中第1-3项均做出了重要贡献，是代表性论文3的第一作者和代表性论文1、5的主要作者。</w:t>
      </w:r>
    </w:p>
    <w:p w14:paraId="39FBAC10">
      <w:pPr>
        <w:spacing w:line="540" w:lineRule="exact"/>
        <w:rPr>
          <w:rFonts w:ascii="仿宋_GB2312" w:hAnsi="Times New Roman" w:eastAsia="仿宋_GB2312"/>
          <w:sz w:val="28"/>
          <w:szCs w:val="28"/>
        </w:rPr>
      </w:pPr>
      <w:r>
        <w:rPr>
          <w:rFonts w:hint="eastAsia" w:ascii="仿宋_GB2312" w:hAnsi="Times New Roman" w:eastAsia="仿宋_GB2312"/>
          <w:sz w:val="28"/>
          <w:szCs w:val="28"/>
        </w:rPr>
        <w:t>4、刘帅，排名第四，助理研究员。工作单位：江西省科学院微生物研究所；完成单位：江西省科学院微生物研究所。对项目“重要科学发现”中第2-3项均做出了重要贡献，是代表性论文2的通讯作者。</w:t>
      </w:r>
    </w:p>
    <w:p w14:paraId="6A609C49">
      <w:pPr>
        <w:spacing w:line="540" w:lineRule="exact"/>
        <w:rPr>
          <w:rFonts w:ascii="仿宋_GB2312" w:hAnsi="Times New Roman" w:eastAsia="仿宋_GB2312"/>
          <w:sz w:val="28"/>
          <w:szCs w:val="28"/>
        </w:rPr>
      </w:pPr>
      <w:r>
        <w:rPr>
          <w:rFonts w:hint="eastAsia" w:ascii="仿宋_GB2312" w:hAnsi="Times New Roman" w:eastAsia="仿宋_GB2312"/>
          <w:sz w:val="28"/>
          <w:szCs w:val="28"/>
        </w:rPr>
        <w:t>5、吴永明，排名第五，研究员。工作单位：江西省科学院微生物研究所；完成单位：江西省科学院微生物研究所。对项目“重要科学发现”中第1-2项均做出了重要贡献，是代表性论文5的第一作者和代表性论文3的主要作者。</w:t>
      </w:r>
    </w:p>
    <w:p w14:paraId="065C47EB">
      <w:pPr>
        <w:spacing w:line="540" w:lineRule="exact"/>
        <w:rPr>
          <w:rFonts w:ascii="仿宋_GB2312" w:hAnsi="Times New Roman" w:eastAsia="仿宋_GB2312"/>
          <w:sz w:val="28"/>
          <w:szCs w:val="28"/>
        </w:rPr>
      </w:pPr>
      <w:r>
        <w:rPr>
          <w:rFonts w:hint="eastAsia" w:ascii="仿宋_GB2312" w:hAnsi="Times New Roman" w:eastAsia="仿宋_GB2312"/>
          <w:sz w:val="28"/>
          <w:szCs w:val="28"/>
        </w:rPr>
        <w:t>主要完成单位情况：</w:t>
      </w:r>
    </w:p>
    <w:p w14:paraId="52CBDC38">
      <w:pPr>
        <w:spacing w:line="540" w:lineRule="exact"/>
        <w:rPr>
          <w:rFonts w:ascii="仿宋_GB2312" w:hAnsi="Times New Roman" w:eastAsia="仿宋_GB2312"/>
          <w:sz w:val="28"/>
          <w:szCs w:val="28"/>
        </w:rPr>
      </w:pPr>
      <w:r>
        <w:rPr>
          <w:rFonts w:hint="eastAsia" w:ascii="仿宋_GB2312" w:hAnsi="Times New Roman" w:eastAsia="仿宋_GB2312"/>
          <w:sz w:val="28"/>
          <w:szCs w:val="28"/>
        </w:rPr>
        <w:t>江西省科学院微生物研究所</w:t>
      </w:r>
      <w:r>
        <w:rPr>
          <w:rFonts w:ascii="仿宋_GB2312" w:hAnsi="Times New Roman" w:eastAsia="仿宋_GB2312"/>
          <w:sz w:val="28"/>
          <w:szCs w:val="28"/>
        </w:rPr>
        <w:t>:</w:t>
      </w:r>
      <w:r>
        <w:rPr>
          <w:rFonts w:hint="eastAsia" w:ascii="仿宋_GB2312" w:hAnsi="Times New Roman" w:eastAsia="仿宋_GB2312"/>
          <w:sz w:val="28"/>
          <w:szCs w:val="28"/>
          <w:lang w:val="en-US" w:eastAsia="zh-CN"/>
        </w:rPr>
        <w:t>排名第一，</w:t>
      </w:r>
      <w:r>
        <w:rPr>
          <w:rFonts w:ascii="仿宋_GB2312" w:hAnsi="Times New Roman" w:eastAsia="仿宋_GB2312"/>
          <w:sz w:val="28"/>
          <w:szCs w:val="28"/>
        </w:rPr>
        <w:t>项目组织单位，负责本项目的组织实施，对资金规范使用进行了严格的管理，为项目提供了良好的实验平台和基础设施，保证了项目的顺利完成。本项目的核心成果和重要发现是在江西省科学院微生物研究所主持下取得的。</w:t>
      </w:r>
    </w:p>
    <w:p w14:paraId="1121B89B">
      <w:pPr>
        <w:spacing w:line="540" w:lineRule="exact"/>
        <w:rPr>
          <w:rFonts w:ascii="仿宋_GB2312" w:hAnsi="Times New Roman" w:eastAsia="仿宋_GB2312"/>
          <w:sz w:val="28"/>
          <w:szCs w:val="28"/>
        </w:rPr>
      </w:pPr>
      <w:r>
        <w:rPr>
          <w:rFonts w:hint="eastAsia" w:ascii="仿宋_GB2312" w:hAnsi="Times New Roman" w:eastAsia="仿宋_GB2312"/>
          <w:sz w:val="28"/>
          <w:szCs w:val="28"/>
        </w:rPr>
        <w:t>浙江工业大学</w:t>
      </w:r>
      <w:r>
        <w:rPr>
          <w:rFonts w:ascii="仿宋_GB2312" w:hAnsi="Times New Roman" w:eastAsia="仿宋_GB2312"/>
          <w:sz w:val="28"/>
          <w:szCs w:val="28"/>
        </w:rPr>
        <w:t>:</w:t>
      </w:r>
      <w:r>
        <w:rPr>
          <w:rFonts w:hint="eastAsia" w:ascii="仿宋_GB2312" w:hAnsi="Times New Roman" w:eastAsia="仿宋_GB2312"/>
          <w:sz w:val="28"/>
          <w:szCs w:val="28"/>
          <w:lang w:val="en-US" w:eastAsia="zh-CN"/>
        </w:rPr>
        <w:t>排名第二</w:t>
      </w:r>
      <w:bookmarkStart w:id="0" w:name="_GoBack"/>
      <w:bookmarkEnd w:id="0"/>
      <w:r>
        <w:rPr>
          <w:rFonts w:hint="eastAsia" w:ascii="仿宋_GB2312" w:hAnsi="Times New Roman" w:eastAsia="仿宋_GB2312"/>
          <w:sz w:val="28"/>
          <w:szCs w:val="28"/>
          <w:lang w:val="en-US" w:eastAsia="zh-CN"/>
        </w:rPr>
        <w:t>，</w:t>
      </w:r>
      <w:r>
        <w:rPr>
          <w:rFonts w:ascii="仿宋_GB2312" w:hAnsi="Times New Roman" w:eastAsia="仿宋_GB2312"/>
          <w:sz w:val="28"/>
          <w:szCs w:val="28"/>
        </w:rPr>
        <w:t>项目主要完成单位，为重要科学发现点三中全氟化合物替代品与微塑料复合暴露风险评估提供支持，为一篇代表性论文的通讯单位。</w:t>
      </w:r>
    </w:p>
    <w:p w14:paraId="5A866C07">
      <w:pPr>
        <w:spacing w:line="540" w:lineRule="exact"/>
        <w:rPr>
          <w:rFonts w:ascii="仿宋_GB2312" w:hAnsi="Times New Roman"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B3115B"/>
    <w:multiLevelType w:val="multilevel"/>
    <w:tmpl w:val="16B3115B"/>
    <w:lvl w:ilvl="0" w:tentative="0">
      <w:start w:val="1"/>
      <w:numFmt w:val="decimal"/>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02"/>
    <w:rsid w:val="00046431"/>
    <w:rsid w:val="00062001"/>
    <w:rsid w:val="00076972"/>
    <w:rsid w:val="00115EE6"/>
    <w:rsid w:val="00133858"/>
    <w:rsid w:val="001777CB"/>
    <w:rsid w:val="00194682"/>
    <w:rsid w:val="001C6779"/>
    <w:rsid w:val="001F441F"/>
    <w:rsid w:val="001F77BA"/>
    <w:rsid w:val="002E247C"/>
    <w:rsid w:val="00315CCB"/>
    <w:rsid w:val="00352E6B"/>
    <w:rsid w:val="00382A25"/>
    <w:rsid w:val="003B6A1F"/>
    <w:rsid w:val="003D1330"/>
    <w:rsid w:val="004004FB"/>
    <w:rsid w:val="005D7F39"/>
    <w:rsid w:val="0060091A"/>
    <w:rsid w:val="0065296B"/>
    <w:rsid w:val="006664C0"/>
    <w:rsid w:val="006B0E11"/>
    <w:rsid w:val="00725840"/>
    <w:rsid w:val="00757794"/>
    <w:rsid w:val="008038D7"/>
    <w:rsid w:val="00827BF8"/>
    <w:rsid w:val="00846568"/>
    <w:rsid w:val="00892830"/>
    <w:rsid w:val="00914AB2"/>
    <w:rsid w:val="00922805"/>
    <w:rsid w:val="009929A1"/>
    <w:rsid w:val="009A6E0D"/>
    <w:rsid w:val="009E2BE6"/>
    <w:rsid w:val="00AB3178"/>
    <w:rsid w:val="00AF1E75"/>
    <w:rsid w:val="00B068D0"/>
    <w:rsid w:val="00B45E94"/>
    <w:rsid w:val="00B514E1"/>
    <w:rsid w:val="00BD196D"/>
    <w:rsid w:val="00C65502"/>
    <w:rsid w:val="00CC300F"/>
    <w:rsid w:val="00CE15E6"/>
    <w:rsid w:val="00CE6191"/>
    <w:rsid w:val="00DA3279"/>
    <w:rsid w:val="00DB1E30"/>
    <w:rsid w:val="00E66F8A"/>
    <w:rsid w:val="00E874B4"/>
    <w:rsid w:val="00F02801"/>
    <w:rsid w:val="00F065FA"/>
    <w:rsid w:val="00F4641F"/>
    <w:rsid w:val="00F67156"/>
    <w:rsid w:val="00F96B82"/>
    <w:rsid w:val="00FA201B"/>
    <w:rsid w:val="2A2C4471"/>
    <w:rsid w:val="462C7B1B"/>
    <w:rsid w:val="746A0B4F"/>
    <w:rsid w:val="759D6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line="240" w:lineRule="auto"/>
    </w:pPr>
    <w:rPr>
      <w:sz w:val="18"/>
      <w:szCs w:val="18"/>
    </w:rPr>
  </w:style>
  <w:style w:type="paragraph" w:styleId="3">
    <w:name w:val="header"/>
    <w:basedOn w:val="1"/>
    <w:link w:val="6"/>
    <w:unhideWhenUsed/>
    <w:qFormat/>
    <w:uiPriority w:val="99"/>
    <w:pPr>
      <w:tabs>
        <w:tab w:val="center" w:pos="4153"/>
        <w:tab w:val="right" w:pos="8306"/>
      </w:tabs>
      <w:snapToGrid w:val="0"/>
      <w:spacing w:line="240" w:lineRule="auto"/>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EndNote Bibliography"/>
    <w:basedOn w:val="1"/>
    <w:link w:val="9"/>
    <w:qFormat/>
    <w:uiPriority w:val="0"/>
    <w:pPr>
      <w:spacing w:after="0" w:line="240" w:lineRule="auto"/>
      <w:jc w:val="both"/>
    </w:pPr>
    <w:rPr>
      <w:rFonts w:ascii="等线" w:hAnsi="等线" w:eastAsia="等线" w:cs="Calibri"/>
      <w:sz w:val="20"/>
      <w:szCs w:val="22"/>
      <w14:ligatures w14:val="none"/>
    </w:rPr>
  </w:style>
  <w:style w:type="character" w:customStyle="1" w:styleId="9">
    <w:name w:val="EndNote Bibliography 字符"/>
    <w:basedOn w:val="5"/>
    <w:link w:val="8"/>
    <w:qFormat/>
    <w:uiPriority w:val="0"/>
    <w:rPr>
      <w:rFonts w:ascii="等线" w:hAnsi="等线" w:eastAsia="等线" w:cs="Calibri"/>
      <w:sz w:val="20"/>
      <w:szCs w:val="22"/>
      <w14:ligatures w14:val="none"/>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1832</Words>
  <Characters>2870</Characters>
  <Lines>21</Lines>
  <Paragraphs>6</Paragraphs>
  <TotalTime>0</TotalTime>
  <ScaleCrop>false</ScaleCrop>
  <LinksUpToDate>false</LinksUpToDate>
  <CharactersWithSpaces>3065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2024-12-08T12:52:00Z</dcterms:created>
  <dc:creator>wenqing tu</dc:creator>
  <cp:lastModifiedBy>111</cp:lastModifiedBy>
  <dcterms:modified xsi:type="dcterms:W3CDTF">2024-12-14T02:33:53Z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DDE96E6E2BBD4BA48199E0DE05BB071B_12</vt:lpwstr>
  </property>
</Properties>
</file>