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C8EA5F">
      <w:pPr>
        <w:rPr>
          <w:rFonts w:ascii="仿宋_GB2312" w:hAnsi="Times New Roman" w:eastAsia="仿宋_GB2312" w:cs="Times New Roman"/>
          <w:b/>
          <w:bCs/>
          <w:sz w:val="28"/>
          <w:szCs w:val="28"/>
        </w:rPr>
      </w:pPr>
      <w:bookmarkStart w:id="12" w:name="_GoBack"/>
      <w:bookmarkEnd w:id="12"/>
      <w:r>
        <w:rPr>
          <w:rFonts w:hint="eastAsia" w:ascii="仿宋_GB2312" w:hAnsi="Times New Roman" w:eastAsia="仿宋_GB2312" w:cs="Times New Roman"/>
          <w:b/>
          <w:bCs/>
          <w:sz w:val="28"/>
          <w:szCs w:val="28"/>
        </w:rPr>
        <w:t>项目名称：</w:t>
      </w:r>
      <w:r>
        <w:rPr>
          <w:rFonts w:hint="eastAsia" w:ascii="仿宋_GB2312" w:hAnsi="Times New Roman" w:eastAsia="仿宋_GB2312" w:cs="Times New Roman"/>
          <w:sz w:val="28"/>
          <w:szCs w:val="28"/>
        </w:rPr>
        <w:t>菝葜功能活性的物质基础与分子机制</w:t>
      </w:r>
    </w:p>
    <w:p w14:paraId="5FD95612">
      <w:pPr>
        <w:rPr>
          <w:rFonts w:ascii="仿宋_GB2312" w:hAnsi="Times New Roman" w:eastAsia="仿宋_GB2312" w:cs="Times New Roman"/>
          <w:sz w:val="28"/>
          <w:szCs w:val="28"/>
        </w:rPr>
      </w:pPr>
      <w:r>
        <w:rPr>
          <w:rFonts w:hint="eastAsia" w:ascii="仿宋_GB2312" w:hAnsi="Times New Roman" w:eastAsia="仿宋_GB2312" w:cs="Times New Roman"/>
          <w:b/>
          <w:bCs/>
          <w:sz w:val="28"/>
          <w:szCs w:val="28"/>
        </w:rPr>
        <w:t>提名者：</w:t>
      </w:r>
      <w:r>
        <w:rPr>
          <w:rFonts w:hint="eastAsia" w:ascii="仿宋_GB2312" w:hAnsi="Times New Roman" w:eastAsia="仿宋_GB2312" w:cs="Times New Roman"/>
          <w:sz w:val="28"/>
          <w:szCs w:val="28"/>
        </w:rPr>
        <w:t>江西省教育厅</w:t>
      </w:r>
    </w:p>
    <w:p w14:paraId="45294252">
      <w:pPr>
        <w:rPr>
          <w:rFonts w:ascii="仿宋_GB2312" w:hAnsi="Times New Roman" w:eastAsia="仿宋_GB2312" w:cs="Times New Roman"/>
          <w:b/>
          <w:bCs/>
          <w:sz w:val="28"/>
          <w:szCs w:val="28"/>
        </w:rPr>
      </w:pPr>
      <w:r>
        <w:rPr>
          <w:rFonts w:hint="eastAsia" w:ascii="仿宋_GB2312" w:hAnsi="Times New Roman" w:eastAsia="仿宋_GB2312" w:cs="Times New Roman"/>
          <w:b/>
          <w:bCs/>
          <w:sz w:val="28"/>
          <w:szCs w:val="28"/>
        </w:rPr>
        <w:t>提名意见：</w:t>
      </w:r>
      <w:bookmarkStart w:id="0" w:name="OLE_LINK3"/>
    </w:p>
    <w:p w14:paraId="7A8A3A0F">
      <w:pPr>
        <w:ind w:firstLine="420" w:firstLineChars="150"/>
        <w:rPr>
          <w:rFonts w:ascii="仿宋_GB2312" w:hAnsi="Times New Roman" w:eastAsia="仿宋_GB2312" w:cs="Times New Roman"/>
          <w:b/>
          <w:bCs/>
          <w:sz w:val="28"/>
          <w:szCs w:val="28"/>
        </w:rPr>
      </w:pPr>
      <w:r>
        <w:rPr>
          <w:rFonts w:hint="eastAsia" w:ascii="仿宋_GB2312" w:eastAsia="仿宋_GB2312"/>
          <w:sz w:val="28"/>
          <w:szCs w:val="28"/>
        </w:rPr>
        <w:t>该项目</w:t>
      </w:r>
      <w:r>
        <w:rPr>
          <w:rFonts w:hint="eastAsia" w:ascii="仿宋_GB2312" w:hAnsi="Times New Roman" w:eastAsia="仿宋_GB2312"/>
          <w:sz w:val="28"/>
          <w:szCs w:val="28"/>
        </w:rPr>
        <w:t>建立了菝葜分离纯化与结构修饰的方技术体系，系统研究了菝葜成分降脂减肥、防治阿尔兹海默症(AD)、抗炎抑菌、凝胶特性等功能活性和作用机制。主要成果在</w:t>
      </w:r>
      <w:r>
        <w:rPr>
          <w:rFonts w:hint="eastAsia" w:ascii="仿宋_GB2312" w:hAnsi="Times New Roman" w:eastAsia="仿宋_GB2312"/>
          <w:i/>
          <w:iCs/>
          <w:sz w:val="28"/>
          <w:szCs w:val="28"/>
        </w:rPr>
        <w:t>Phytomedicine</w:t>
      </w:r>
      <w:r>
        <w:rPr>
          <w:rFonts w:hint="eastAsia" w:ascii="仿宋_GB2312" w:hAnsi="Times New Roman" w:eastAsia="仿宋_GB2312"/>
          <w:sz w:val="28"/>
          <w:szCs w:val="28"/>
        </w:rPr>
        <w:t>、</w:t>
      </w:r>
      <w:r>
        <w:rPr>
          <w:rFonts w:hint="eastAsia" w:ascii="仿宋_GB2312" w:hAnsi="Times New Roman" w:eastAsia="仿宋_GB2312"/>
          <w:i/>
          <w:iCs/>
          <w:sz w:val="28"/>
          <w:szCs w:val="28"/>
        </w:rPr>
        <w:t>ACS Applied Materials &amp; Interfaces</w:t>
      </w:r>
      <w:r>
        <w:rPr>
          <w:rFonts w:hint="eastAsia" w:ascii="仿宋_GB2312" w:hAnsi="Times New Roman" w:eastAsia="仿宋_GB2312"/>
          <w:sz w:val="28"/>
          <w:szCs w:val="28"/>
        </w:rPr>
        <w:t>、</w:t>
      </w:r>
      <w:r>
        <w:rPr>
          <w:rFonts w:hint="eastAsia" w:ascii="仿宋_GB2312" w:hAnsi="Times New Roman" w:eastAsia="仿宋_GB2312"/>
          <w:i/>
          <w:iCs/>
          <w:sz w:val="28"/>
          <w:szCs w:val="28"/>
        </w:rPr>
        <w:t>Food &amp; Function</w:t>
      </w:r>
      <w:r>
        <w:rPr>
          <w:rFonts w:hint="eastAsia" w:ascii="仿宋_GB2312" w:hAnsi="Times New Roman" w:eastAsia="仿宋_GB2312"/>
          <w:sz w:val="28"/>
          <w:szCs w:val="28"/>
        </w:rPr>
        <w:t>等国内外主流期刊上发表相关论文。其中5篇代表性论文被</w:t>
      </w:r>
      <w:r>
        <w:rPr>
          <w:rFonts w:hint="eastAsia" w:ascii="仿宋_GB2312" w:hAnsi="Times New Roman" w:eastAsia="仿宋_GB2312"/>
          <w:i/>
          <w:iCs/>
          <w:sz w:val="28"/>
          <w:szCs w:val="28"/>
        </w:rPr>
        <w:t>Advanced Materials</w:t>
      </w:r>
      <w:r>
        <w:rPr>
          <w:rFonts w:hint="eastAsia" w:ascii="仿宋_GB2312" w:hAnsi="Times New Roman" w:eastAsia="仿宋_GB2312"/>
          <w:sz w:val="28"/>
          <w:szCs w:val="28"/>
        </w:rPr>
        <w:t>、</w:t>
      </w:r>
      <w:r>
        <w:rPr>
          <w:rFonts w:hint="eastAsia" w:ascii="仿宋_GB2312" w:hAnsi="Times New Roman" w:eastAsia="仿宋_GB2312"/>
          <w:i/>
          <w:iCs/>
          <w:sz w:val="28"/>
          <w:szCs w:val="28"/>
        </w:rPr>
        <w:t>ACS Nano</w:t>
      </w:r>
      <w:r>
        <w:rPr>
          <w:rFonts w:hint="eastAsia" w:ascii="仿宋_GB2312" w:hAnsi="Times New Roman" w:eastAsia="仿宋_GB2312"/>
          <w:sz w:val="28"/>
          <w:szCs w:val="28"/>
        </w:rPr>
        <w:t>、</w:t>
      </w:r>
      <w:r>
        <w:rPr>
          <w:rFonts w:hint="eastAsia" w:ascii="仿宋_GB2312" w:hAnsi="Times New Roman" w:eastAsia="仿宋_GB2312"/>
          <w:i/>
          <w:iCs/>
          <w:sz w:val="28"/>
          <w:szCs w:val="28"/>
        </w:rPr>
        <w:t xml:space="preserve">Food Hydrocolloids </w:t>
      </w:r>
      <w:r>
        <w:rPr>
          <w:rFonts w:hint="eastAsia" w:ascii="仿宋_GB2312" w:hAnsi="Times New Roman" w:eastAsia="仿宋_GB2312"/>
          <w:sz w:val="28"/>
          <w:szCs w:val="28"/>
        </w:rPr>
        <w:t>等高水平的SCI论文他引227次。其中哈佛大学医学院Wei Tao教授团队发表在</w:t>
      </w:r>
      <w:r>
        <w:rPr>
          <w:rFonts w:hint="eastAsia" w:ascii="仿宋_GB2312" w:hAnsi="Times New Roman" w:eastAsia="仿宋_GB2312"/>
          <w:i/>
          <w:iCs/>
          <w:sz w:val="28"/>
          <w:szCs w:val="28"/>
        </w:rPr>
        <w:t>Advanced Materials</w:t>
      </w:r>
      <w:r>
        <w:rPr>
          <w:rFonts w:hint="eastAsia" w:ascii="仿宋_GB2312" w:hAnsi="Times New Roman" w:eastAsia="仿宋_GB2312"/>
          <w:sz w:val="28"/>
          <w:szCs w:val="28"/>
        </w:rPr>
        <w:t>上论文引用代表作2的原图，并给予较高评价“该团队成功制备白藜芦醇硒肽纳米复合材料或许能作为一种治疗AD的潜在策略”。该项目成果为菝葜的综合开发利用提供研究基础和理论依据，也为助力健康中国战略下中药现代化的发展提供了理论支撑与参考。</w:t>
      </w:r>
      <w:bookmarkEnd w:id="0"/>
    </w:p>
    <w:p w14:paraId="6BA739CD">
      <w:pPr>
        <w:rPr>
          <w:rFonts w:ascii="仿宋_GB2312" w:hAnsi="Times New Roman" w:eastAsia="仿宋_GB2312" w:cs="Times New Roman"/>
          <w:sz w:val="28"/>
          <w:szCs w:val="28"/>
        </w:rPr>
      </w:pPr>
      <w:r>
        <w:rPr>
          <w:rFonts w:hint="eastAsia" w:ascii="仿宋_GB2312" w:hAnsi="Times New Roman" w:eastAsia="仿宋_GB2312" w:cs="Times New Roman"/>
          <w:b/>
          <w:bCs/>
          <w:sz w:val="28"/>
          <w:szCs w:val="28"/>
        </w:rPr>
        <w:t>提名等级：</w:t>
      </w:r>
      <w:r>
        <w:rPr>
          <w:rFonts w:hint="eastAsia" w:ascii="仿宋_GB2312" w:hAnsi="Times New Roman" w:eastAsia="仿宋_GB2312"/>
          <w:sz w:val="28"/>
          <w:szCs w:val="28"/>
        </w:rPr>
        <w:t>江西省自然科学奖</w:t>
      </w:r>
      <w:r>
        <w:rPr>
          <w:rFonts w:hint="eastAsia" w:ascii="仿宋_GB2312" w:hAnsi="Times New Roman" w:eastAsia="仿宋_GB2312" w:cs="Times New Roman"/>
          <w:sz w:val="28"/>
          <w:szCs w:val="28"/>
        </w:rPr>
        <w:t>一等奖</w:t>
      </w:r>
    </w:p>
    <w:p w14:paraId="550E8A41">
      <w:pPr>
        <w:rPr>
          <w:rFonts w:ascii="仿宋_GB2312" w:hAnsi="Times New Roman" w:eastAsia="仿宋_GB2312" w:cs="Times New Roman"/>
          <w:sz w:val="28"/>
          <w:szCs w:val="28"/>
        </w:rPr>
      </w:pPr>
      <w:r>
        <w:rPr>
          <w:rFonts w:hint="eastAsia" w:ascii="仿宋_GB2312" w:hAnsi="Times New Roman" w:eastAsia="仿宋_GB2312" w:cs="Times New Roman"/>
          <w:b/>
          <w:bCs/>
          <w:sz w:val="28"/>
          <w:szCs w:val="28"/>
        </w:rPr>
        <w:t>项目简介：</w:t>
      </w:r>
    </w:p>
    <w:p w14:paraId="32F5AE83">
      <w:pPr>
        <w:ind w:firstLine="560" w:firstLineChars="200"/>
        <w:rPr>
          <w:rFonts w:ascii="仿宋_GB2312" w:hAnsi="Times New Roman" w:eastAsia="仿宋_GB2312" w:cs="Times New Roman"/>
          <w:sz w:val="28"/>
          <w:szCs w:val="28"/>
        </w:rPr>
      </w:pPr>
      <w:r>
        <w:rPr>
          <w:rFonts w:hint="eastAsia" w:ascii="仿宋_GB2312" w:hAnsi="Times New Roman" w:eastAsia="仿宋_GB2312" w:cs="Times New Roman"/>
          <w:sz w:val="28"/>
          <w:szCs w:val="28"/>
        </w:rPr>
        <w:t>菝葜（</w:t>
      </w:r>
      <w:r>
        <w:rPr>
          <w:rFonts w:hint="eastAsia" w:ascii="仿宋_GB2312" w:hAnsi="Times New Roman" w:eastAsia="仿宋_GB2312" w:cs="Times New Roman"/>
          <w:i/>
          <w:iCs/>
          <w:sz w:val="28"/>
          <w:szCs w:val="28"/>
        </w:rPr>
        <w:t>Smilax china</w:t>
      </w:r>
      <w:r>
        <w:rPr>
          <w:rFonts w:hint="eastAsia" w:ascii="仿宋_GB2312" w:hAnsi="Times New Roman" w:eastAsia="仿宋_GB2312" w:cs="Times New Roman"/>
          <w:sz w:val="28"/>
          <w:szCs w:val="28"/>
        </w:rPr>
        <w:t xml:space="preserve"> L.）作为一种入药历史悠久的中药材，具有祛风利湿，解毒散瘀等功效，但相对于其它中药材而言，菝葜发挥功效的物质基础与分子机制的研究相对比较薄弱。课题组从2010年开始聚焦菝葜功能活性的物质基础和分子机制研究，率先发现了菝葜具有明显的降脂减肥效果。为深入探究菝葜功能活性的物质基础，构建了一套菝葜成分高效分离纯化与结构修饰的方法体系。并在此基础上，利用分子生物学、生物信息学、多组学联合等技术，率先报道菝葜成分降脂减肥、防治阿尔兹海默症（AD）、凝胶特性等功能活性，并阐明其作用机制。本项目研究成果不仅为菝葜的综合开发利用提供研究基础和理论依据，更为助力健康中国战略下中药现代化发展提供理论支撑与参考。</w:t>
      </w:r>
    </w:p>
    <w:p w14:paraId="3F98E110">
      <w:pPr>
        <w:ind w:firstLine="560" w:firstLineChars="200"/>
        <w:rPr>
          <w:rFonts w:ascii="仿宋_GB2312" w:hAnsi="Times New Roman" w:eastAsia="仿宋_GB2312" w:cs="Times New Roman"/>
          <w:sz w:val="28"/>
          <w:szCs w:val="28"/>
        </w:rPr>
      </w:pPr>
      <w:r>
        <w:rPr>
          <w:rFonts w:hint="eastAsia" w:ascii="仿宋_GB2312" w:hAnsi="Times New Roman" w:eastAsia="仿宋_GB2312" w:cs="Times New Roman"/>
          <w:sz w:val="28"/>
          <w:szCs w:val="28"/>
        </w:rPr>
        <w:t>本项目的研究成果在</w:t>
      </w:r>
      <w:r>
        <w:rPr>
          <w:rFonts w:hint="eastAsia" w:ascii="仿宋_GB2312" w:hAnsi="Times New Roman" w:eastAsia="仿宋_GB2312" w:cs="Times New Roman"/>
          <w:i/>
          <w:iCs/>
          <w:sz w:val="28"/>
          <w:szCs w:val="28"/>
        </w:rPr>
        <w:t>Phytomedicine</w:t>
      </w:r>
      <w:r>
        <w:rPr>
          <w:rFonts w:hint="eastAsia" w:ascii="仿宋_GB2312" w:hAnsi="Times New Roman" w:eastAsia="仿宋_GB2312" w:cs="Times New Roman"/>
          <w:sz w:val="28"/>
          <w:szCs w:val="28"/>
        </w:rPr>
        <w:t>、</w:t>
      </w:r>
      <w:r>
        <w:rPr>
          <w:rFonts w:hint="eastAsia" w:ascii="仿宋_GB2312" w:hAnsi="Times New Roman" w:eastAsia="仿宋_GB2312" w:cs="Times New Roman"/>
          <w:i/>
          <w:iCs/>
          <w:sz w:val="28"/>
          <w:szCs w:val="28"/>
        </w:rPr>
        <w:t>Carbohyd. Polym.</w:t>
      </w:r>
      <w:r>
        <w:rPr>
          <w:rFonts w:hint="eastAsia" w:ascii="仿宋_GB2312" w:hAnsi="Times New Roman" w:eastAsia="仿宋_GB2312" w:cs="Times New Roman"/>
          <w:sz w:val="28"/>
          <w:szCs w:val="28"/>
        </w:rPr>
        <w:t>、</w:t>
      </w:r>
      <w:r>
        <w:rPr>
          <w:rFonts w:hint="eastAsia" w:ascii="仿宋_GB2312" w:hAnsi="Times New Roman" w:eastAsia="仿宋_GB2312" w:cs="Times New Roman"/>
          <w:i/>
          <w:iCs/>
          <w:sz w:val="28"/>
          <w:szCs w:val="28"/>
        </w:rPr>
        <w:t>ACS Appl. Mater. Interfaces、</w:t>
      </w:r>
      <w:r>
        <w:fldChar w:fldCharType="begin"/>
      </w:r>
      <w:r>
        <w:instrText xml:space="preserve"> HYPERLINK "http://www.letpub.com.cn/index.php?page=journalapp&amp;view=detail&amp;journalid=5355" </w:instrText>
      </w:r>
      <w:r>
        <w:fldChar w:fldCharType="separate"/>
      </w:r>
      <w:r>
        <w:rPr>
          <w:rFonts w:hint="eastAsia" w:ascii="仿宋_GB2312" w:hAnsi="Times New Roman" w:eastAsia="仿宋_GB2312" w:cs="Times New Roman"/>
          <w:i/>
          <w:iCs/>
          <w:sz w:val="28"/>
          <w:szCs w:val="28"/>
        </w:rPr>
        <w:t>J. Agric. Food Chem.</w:t>
      </w:r>
      <w:r>
        <w:rPr>
          <w:rFonts w:hint="eastAsia" w:ascii="仿宋_GB2312" w:hAnsi="Times New Roman" w:eastAsia="仿宋_GB2312" w:cs="Times New Roman"/>
          <w:i/>
          <w:iCs/>
          <w:sz w:val="28"/>
          <w:szCs w:val="28"/>
        </w:rPr>
        <w:fldChar w:fldCharType="end"/>
      </w:r>
      <w:r>
        <w:rPr>
          <w:rFonts w:hint="eastAsia" w:ascii="仿宋_GB2312" w:hAnsi="Times New Roman" w:eastAsia="仿宋_GB2312" w:cs="Times New Roman"/>
          <w:sz w:val="28"/>
          <w:szCs w:val="28"/>
        </w:rPr>
        <w:t>等国内外主流期刊上发表论文52篇，其中SCI论文28篇。5篇代表性论文被中国、美国、加拿大、法国等20多个国家和地区的学者在</w:t>
      </w:r>
      <w:r>
        <w:rPr>
          <w:rFonts w:hint="eastAsia" w:ascii="仿宋_GB2312" w:hAnsi="Times New Roman" w:eastAsia="仿宋_GB2312" w:cs="Times New Roman"/>
          <w:i/>
          <w:iCs/>
          <w:sz w:val="28"/>
          <w:szCs w:val="28"/>
        </w:rPr>
        <w:t>Adv. Mater.</w:t>
      </w:r>
      <w:r>
        <w:rPr>
          <w:rFonts w:hint="eastAsia" w:ascii="仿宋_GB2312" w:hAnsi="Times New Roman" w:eastAsia="仿宋_GB2312" w:cs="Times New Roman"/>
          <w:sz w:val="28"/>
          <w:szCs w:val="28"/>
        </w:rPr>
        <w:t>、</w:t>
      </w:r>
      <w:r>
        <w:rPr>
          <w:rFonts w:hint="eastAsia" w:ascii="仿宋_GB2312" w:hAnsi="Times New Roman" w:eastAsia="仿宋_GB2312" w:cs="Times New Roman"/>
          <w:i/>
          <w:iCs/>
          <w:sz w:val="28"/>
          <w:szCs w:val="28"/>
        </w:rPr>
        <w:t>Phytomedicine</w:t>
      </w:r>
      <w:r>
        <w:rPr>
          <w:rFonts w:hint="eastAsia" w:ascii="仿宋_GB2312" w:hAnsi="Times New Roman" w:eastAsia="仿宋_GB2312" w:cs="Times New Roman"/>
          <w:sz w:val="28"/>
          <w:szCs w:val="28"/>
        </w:rPr>
        <w:t>、</w:t>
      </w:r>
      <w:r>
        <w:rPr>
          <w:rFonts w:hint="eastAsia" w:ascii="仿宋_GB2312" w:hAnsi="Times New Roman" w:eastAsia="仿宋_GB2312" w:cs="Times New Roman"/>
          <w:i/>
          <w:iCs/>
          <w:sz w:val="28"/>
          <w:szCs w:val="28"/>
        </w:rPr>
        <w:t>ACS Nano</w:t>
      </w:r>
      <w:r>
        <w:rPr>
          <w:rFonts w:hint="eastAsia" w:ascii="仿宋_GB2312" w:hAnsi="Times New Roman" w:eastAsia="仿宋_GB2312" w:cs="Times New Roman"/>
          <w:sz w:val="28"/>
          <w:szCs w:val="28"/>
        </w:rPr>
        <w:t>、</w:t>
      </w:r>
      <w:r>
        <w:rPr>
          <w:rFonts w:hint="eastAsia" w:ascii="仿宋_GB2312" w:hAnsi="Times New Roman" w:eastAsia="仿宋_GB2312" w:cs="Times New Roman"/>
          <w:i/>
          <w:iCs/>
          <w:sz w:val="28"/>
          <w:szCs w:val="28"/>
        </w:rPr>
        <w:t>Adv. Healthc. Mater.</w:t>
      </w:r>
      <w:r>
        <w:rPr>
          <w:rFonts w:hint="eastAsia" w:ascii="仿宋_GB2312" w:hAnsi="Times New Roman" w:eastAsia="仿宋_GB2312" w:cs="Times New Roman"/>
          <w:sz w:val="28"/>
          <w:szCs w:val="28"/>
        </w:rPr>
        <w:t>等SCI期刊引用2</w:t>
      </w:r>
      <w:r>
        <w:rPr>
          <w:rFonts w:ascii="仿宋_GB2312" w:hAnsi="Times New Roman" w:eastAsia="仿宋_GB2312" w:cs="Times New Roman"/>
          <w:sz w:val="28"/>
          <w:szCs w:val="28"/>
        </w:rPr>
        <w:t>27</w:t>
      </w:r>
      <w:r>
        <w:rPr>
          <w:rFonts w:hint="eastAsia" w:ascii="仿宋_GB2312" w:hAnsi="Times New Roman" w:eastAsia="仿宋_GB2312" w:cs="Times New Roman"/>
          <w:sz w:val="28"/>
          <w:szCs w:val="28"/>
        </w:rPr>
        <w:t>次。本成果获得国内外著名研究机构及高校学者的持续跟踪，得到了中国工程院朱蓓薇院士、国家“万人计划”科技创新领军人才方亚鹏教授、哈佛大学医学院Wei Tao教授等团队的正面引用和肯定。Wei Tao教授团队发表在</w:t>
      </w:r>
      <w:r>
        <w:rPr>
          <w:rFonts w:hint="eastAsia" w:ascii="仿宋_GB2312" w:hAnsi="Times New Roman" w:eastAsia="仿宋_GB2312" w:cs="Times New Roman"/>
          <w:i/>
          <w:iCs/>
          <w:sz w:val="28"/>
          <w:szCs w:val="28"/>
        </w:rPr>
        <w:t>Adv. Mater.</w:t>
      </w:r>
      <w:r>
        <w:rPr>
          <w:rFonts w:hint="eastAsia" w:ascii="仿宋_GB2312" w:hAnsi="Times New Roman" w:eastAsia="仿宋_GB2312" w:cs="Times New Roman"/>
          <w:sz w:val="28"/>
          <w:szCs w:val="28"/>
        </w:rPr>
        <w:t>（IF(2024)=27.4）的论文直接引用代表作2的原图，并对研究成果给予高度评价：“该团队制备的白藜芦醇-硒-肽纳米复合材料，能穿透血脑屏障，缓解AD症状，可作为一种防治AD的潜在策略”。这些引用与评价表明本项目研究成果获得同行专家较高的评价和关注。</w:t>
      </w:r>
    </w:p>
    <w:p w14:paraId="48852BBE">
      <w:pPr>
        <w:rPr>
          <w:rFonts w:ascii="仿宋_GB2312" w:hAnsi="Times New Roman" w:eastAsia="仿宋_GB2312" w:cs="Times New Roman"/>
          <w:sz w:val="28"/>
          <w:szCs w:val="28"/>
        </w:rPr>
      </w:pPr>
      <w:r>
        <w:rPr>
          <w:rFonts w:hint="eastAsia" w:ascii="仿宋_GB2312" w:hAnsi="Times New Roman" w:eastAsia="仿宋_GB2312" w:cs="Times New Roman"/>
          <w:b/>
          <w:bCs/>
          <w:sz w:val="28"/>
          <w:szCs w:val="28"/>
        </w:rPr>
        <w:t>代表性论文专著目录：</w:t>
      </w:r>
    </w:p>
    <w:p w14:paraId="55A63507">
      <w:pPr>
        <w:numPr>
          <w:ilvl w:val="0"/>
          <w:numId w:val="1"/>
        </w:numPr>
        <w:rPr>
          <w:rFonts w:ascii="仿宋_GB2312" w:hAnsi="Times New Roman" w:eastAsia="仿宋_GB2312" w:cs="Times New Roman"/>
          <w:sz w:val="28"/>
          <w:szCs w:val="28"/>
        </w:rPr>
      </w:pPr>
      <w:r>
        <w:fldChar w:fldCharType="begin"/>
      </w:r>
      <w:r>
        <w:instrText xml:space="preserve"> HYPERLINK "https://www.sciencedirect.com/science/article/abs/pii/S0944711321002713" \l "!" </w:instrText>
      </w:r>
      <w:r>
        <w:fldChar w:fldCharType="separate"/>
      </w:r>
      <w:r>
        <w:rPr>
          <w:rFonts w:hint="eastAsia" w:ascii="仿宋_GB2312" w:hAnsi="Times New Roman" w:eastAsia="仿宋_GB2312" w:cs="Times New Roman"/>
          <w:sz w:val="28"/>
          <w:szCs w:val="28"/>
        </w:rPr>
        <w:t>Xin Li,</w:t>
      </w:r>
      <w:r>
        <w:rPr>
          <w:rFonts w:hint="eastAsia" w:ascii="仿宋_GB2312" w:hAnsi="Times New Roman" w:eastAsia="仿宋_GB2312" w:cs="Times New Roman"/>
          <w:sz w:val="28"/>
          <w:szCs w:val="28"/>
        </w:rPr>
        <w:fldChar w:fldCharType="end"/>
      </w:r>
      <w:bookmarkStart w:id="1" w:name="bau0002"/>
      <w:r>
        <w:rPr>
          <w:rFonts w:hint="eastAsia" w:ascii="仿宋_GB2312" w:hAnsi="Times New Roman" w:eastAsia="仿宋_GB2312" w:cs="Times New Roman"/>
          <w:sz w:val="28"/>
          <w:szCs w:val="28"/>
        </w:rPr>
        <w:t xml:space="preserve"> </w:t>
      </w:r>
      <w:r>
        <w:fldChar w:fldCharType="begin"/>
      </w:r>
      <w:r>
        <w:instrText xml:space="preserve"> HYPERLINK "https://www.sciencedirect.com/science/article/abs/pii/S0944711321002713" \l "!" </w:instrText>
      </w:r>
      <w:r>
        <w:fldChar w:fldCharType="separate"/>
      </w:r>
      <w:r>
        <w:rPr>
          <w:rFonts w:hint="eastAsia" w:ascii="仿宋_GB2312" w:hAnsi="Times New Roman" w:eastAsia="仿宋_GB2312" w:cs="Times New Roman"/>
          <w:sz w:val="28"/>
          <w:szCs w:val="28"/>
        </w:rPr>
        <w:t>Lulu Chu</w:t>
      </w:r>
      <w:bookmarkEnd w:id="1"/>
      <w:r>
        <w:rPr>
          <w:rFonts w:hint="eastAsia" w:ascii="仿宋_GB2312" w:hAnsi="Times New Roman" w:eastAsia="仿宋_GB2312" w:cs="Times New Roman"/>
          <w:sz w:val="28"/>
          <w:szCs w:val="28"/>
        </w:rPr>
        <w:t>,</w:t>
      </w:r>
      <w:r>
        <w:rPr>
          <w:rFonts w:hint="eastAsia" w:ascii="仿宋_GB2312" w:hAnsi="Times New Roman" w:eastAsia="仿宋_GB2312" w:cs="Times New Roman"/>
          <w:sz w:val="28"/>
          <w:szCs w:val="28"/>
        </w:rPr>
        <w:fldChar w:fldCharType="end"/>
      </w:r>
      <w:bookmarkStart w:id="2" w:name="bau0003"/>
      <w:r>
        <w:rPr>
          <w:rFonts w:hint="eastAsia" w:ascii="仿宋_GB2312" w:hAnsi="Times New Roman" w:eastAsia="仿宋_GB2312" w:cs="Times New Roman"/>
          <w:sz w:val="28"/>
          <w:szCs w:val="28"/>
        </w:rPr>
        <w:t xml:space="preserve"> </w:t>
      </w:r>
      <w:r>
        <w:fldChar w:fldCharType="begin"/>
      </w:r>
      <w:r>
        <w:instrText xml:space="preserve"> HYPERLINK "https://www.sciencedirect.com/science/article/abs/pii/S0944711321002713" \l "!" </w:instrText>
      </w:r>
      <w:r>
        <w:fldChar w:fldCharType="separate"/>
      </w:r>
      <w:r>
        <w:rPr>
          <w:rFonts w:hint="eastAsia" w:ascii="仿宋_GB2312" w:hAnsi="Times New Roman" w:eastAsia="仿宋_GB2312" w:cs="Times New Roman"/>
          <w:sz w:val="28"/>
          <w:szCs w:val="28"/>
        </w:rPr>
        <w:t>Shanshan Liu</w:t>
      </w:r>
      <w:bookmarkEnd w:id="2"/>
      <w:r>
        <w:rPr>
          <w:rFonts w:hint="eastAsia" w:ascii="仿宋_GB2312" w:hAnsi="Times New Roman" w:eastAsia="仿宋_GB2312" w:cs="Times New Roman"/>
          <w:sz w:val="28"/>
          <w:szCs w:val="28"/>
        </w:rPr>
        <w:t>,</w:t>
      </w:r>
      <w:r>
        <w:rPr>
          <w:rFonts w:hint="eastAsia" w:ascii="仿宋_GB2312" w:hAnsi="Times New Roman" w:eastAsia="仿宋_GB2312" w:cs="Times New Roman"/>
          <w:sz w:val="28"/>
          <w:szCs w:val="28"/>
        </w:rPr>
        <w:fldChar w:fldCharType="end"/>
      </w:r>
      <w:bookmarkStart w:id="3" w:name="bau0004"/>
      <w:r>
        <w:rPr>
          <w:rFonts w:hint="eastAsia" w:ascii="仿宋_GB2312" w:hAnsi="Times New Roman" w:eastAsia="仿宋_GB2312" w:cs="Times New Roman"/>
          <w:sz w:val="28"/>
          <w:szCs w:val="28"/>
        </w:rPr>
        <w:t xml:space="preserve"> </w:t>
      </w:r>
      <w:r>
        <w:fldChar w:fldCharType="begin"/>
      </w:r>
      <w:r>
        <w:instrText xml:space="preserve"> HYPERLINK "https://www.sciencedirect.com/science/article/abs/pii/S0944711321002713" \l "!" </w:instrText>
      </w:r>
      <w:r>
        <w:fldChar w:fldCharType="separate"/>
      </w:r>
      <w:r>
        <w:rPr>
          <w:rFonts w:hint="eastAsia" w:ascii="仿宋_GB2312" w:hAnsi="Times New Roman" w:eastAsia="仿宋_GB2312" w:cs="Times New Roman"/>
          <w:sz w:val="28"/>
          <w:szCs w:val="28"/>
        </w:rPr>
        <w:t>Wenkai Zhang</w:t>
      </w:r>
      <w:bookmarkEnd w:id="3"/>
      <w:r>
        <w:rPr>
          <w:rFonts w:hint="eastAsia" w:ascii="仿宋_GB2312" w:hAnsi="Times New Roman" w:eastAsia="仿宋_GB2312" w:cs="Times New Roman"/>
          <w:sz w:val="28"/>
          <w:szCs w:val="28"/>
        </w:rPr>
        <w:t>,</w:t>
      </w:r>
      <w:r>
        <w:rPr>
          <w:rFonts w:hint="eastAsia" w:ascii="仿宋_GB2312" w:hAnsi="Times New Roman" w:eastAsia="仿宋_GB2312" w:cs="Times New Roman"/>
          <w:sz w:val="28"/>
          <w:szCs w:val="28"/>
        </w:rPr>
        <w:fldChar w:fldCharType="end"/>
      </w:r>
      <w:r>
        <w:rPr>
          <w:rFonts w:hint="eastAsia" w:ascii="仿宋_GB2312" w:hAnsi="Times New Roman" w:eastAsia="仿宋_GB2312" w:cs="Times New Roman"/>
          <w:sz w:val="28"/>
          <w:szCs w:val="28"/>
        </w:rPr>
        <w:t xml:space="preserve"> </w:t>
      </w:r>
      <w:r>
        <w:fldChar w:fldCharType="begin"/>
      </w:r>
      <w:r>
        <w:instrText xml:space="preserve"> HYPERLINK "https://www.sciencedirect.com/science/article/abs/pii/S0944711321002713" \l "!" </w:instrText>
      </w:r>
      <w:r>
        <w:fldChar w:fldCharType="separate"/>
      </w:r>
      <w:r>
        <w:rPr>
          <w:rFonts w:hint="eastAsia" w:ascii="仿宋_GB2312" w:hAnsi="Times New Roman" w:eastAsia="仿宋_GB2312" w:cs="Times New Roman"/>
          <w:sz w:val="28"/>
          <w:szCs w:val="28"/>
        </w:rPr>
        <w:t>Lezhen Lin,</w:t>
      </w:r>
      <w:r>
        <w:rPr>
          <w:rFonts w:hint="eastAsia" w:ascii="仿宋_GB2312" w:hAnsi="Times New Roman" w:eastAsia="仿宋_GB2312" w:cs="Times New Roman"/>
          <w:sz w:val="28"/>
          <w:szCs w:val="28"/>
        </w:rPr>
        <w:fldChar w:fldCharType="end"/>
      </w:r>
      <w:bookmarkStart w:id="4" w:name="bau0006"/>
      <w:r>
        <w:rPr>
          <w:rFonts w:hint="eastAsia" w:ascii="仿宋_GB2312" w:hAnsi="Times New Roman" w:eastAsia="仿宋_GB2312" w:cs="Times New Roman"/>
          <w:sz w:val="28"/>
          <w:szCs w:val="28"/>
        </w:rPr>
        <w:t xml:space="preserve"> </w:t>
      </w:r>
      <w:r>
        <w:fldChar w:fldCharType="begin"/>
      </w:r>
      <w:r>
        <w:instrText xml:space="preserve"> HYPERLINK "https://www.sciencedirect.com/science/article/abs/pii/S0944711321002713" \l "!" </w:instrText>
      </w:r>
      <w:r>
        <w:fldChar w:fldCharType="separate"/>
      </w:r>
      <w:r>
        <w:rPr>
          <w:rFonts w:hint="eastAsia" w:ascii="仿宋_GB2312" w:hAnsi="Times New Roman" w:eastAsia="仿宋_GB2312" w:cs="Times New Roman"/>
          <w:sz w:val="28"/>
          <w:szCs w:val="28"/>
        </w:rPr>
        <w:t>Guodong Zheng</w:t>
      </w:r>
      <w:bookmarkEnd w:id="4"/>
      <w:r>
        <w:rPr>
          <w:rFonts w:hint="eastAsia" w:ascii="仿宋_GB2312" w:hAnsi="Times New Roman" w:eastAsia="仿宋_GB2312" w:cs="Times New Roman"/>
          <w:sz w:val="28"/>
          <w:szCs w:val="28"/>
        </w:rPr>
        <w:fldChar w:fldCharType="end"/>
      </w:r>
      <w:r>
        <w:rPr>
          <w:rFonts w:hint="eastAsia" w:ascii="仿宋_GB2312" w:hAnsi="Times New Roman" w:eastAsia="仿宋_GB2312" w:cs="Times New Roman"/>
          <w:sz w:val="28"/>
          <w:szCs w:val="28"/>
        </w:rPr>
        <w:t xml:space="preserve">. </w:t>
      </w:r>
      <w:r>
        <w:rPr>
          <w:rFonts w:hint="eastAsia" w:ascii="仿宋_GB2312" w:hAnsi="Times New Roman" w:eastAsia="仿宋_GB2312" w:cs="Times New Roman"/>
          <w:i/>
          <w:iCs/>
          <w:sz w:val="28"/>
          <w:szCs w:val="28"/>
        </w:rPr>
        <w:t>Smilax china</w:t>
      </w:r>
      <w:r>
        <w:rPr>
          <w:rFonts w:hint="eastAsia" w:ascii="仿宋_GB2312" w:hAnsi="Times New Roman" w:eastAsia="仿宋_GB2312" w:cs="Times New Roman"/>
          <w:sz w:val="28"/>
          <w:szCs w:val="28"/>
        </w:rPr>
        <w:t> L. flavonoid alleviates HFHS-induced inflammation by regulating the gut-liver axis in mice</w:t>
      </w:r>
      <w:bookmarkStart w:id="5" w:name="OLE_LINK28"/>
      <w:r>
        <w:rPr>
          <w:rFonts w:hint="eastAsia" w:ascii="仿宋_GB2312" w:hAnsi="Times New Roman" w:eastAsia="仿宋_GB2312" w:cs="Times New Roman"/>
          <w:sz w:val="28"/>
          <w:szCs w:val="28"/>
        </w:rPr>
        <w:t xml:space="preserve">. </w:t>
      </w:r>
      <w:r>
        <w:rPr>
          <w:rFonts w:hint="eastAsia" w:ascii="仿宋_GB2312" w:hAnsi="Times New Roman" w:eastAsia="仿宋_GB2312" w:cs="Times New Roman"/>
          <w:i/>
          <w:iCs/>
          <w:sz w:val="28"/>
          <w:szCs w:val="28"/>
        </w:rPr>
        <w:t>Phytomedicine</w:t>
      </w:r>
      <w:r>
        <w:rPr>
          <w:rFonts w:hint="eastAsia" w:ascii="仿宋_GB2312" w:hAnsi="Times New Roman" w:eastAsia="仿宋_GB2312" w:cs="Times New Roman"/>
          <w:sz w:val="28"/>
          <w:szCs w:val="28"/>
        </w:rPr>
        <w:t>, 2022, 95: 153728.</w:t>
      </w:r>
      <w:bookmarkEnd w:id="5"/>
      <w:r>
        <w:rPr>
          <w:rFonts w:hint="eastAsia" w:ascii="仿宋_GB2312" w:hAnsi="Times New Roman" w:eastAsia="仿宋_GB2312" w:cs="Times New Roman"/>
          <w:sz w:val="28"/>
          <w:szCs w:val="28"/>
        </w:rPr>
        <w:t>（在线发表时间2021年9月5日）</w:t>
      </w:r>
    </w:p>
    <w:p w14:paraId="0C78129F">
      <w:pPr>
        <w:numPr>
          <w:ilvl w:val="0"/>
          <w:numId w:val="1"/>
        </w:numPr>
        <w:rPr>
          <w:rFonts w:ascii="仿宋_GB2312" w:hAnsi="Times New Roman" w:eastAsia="仿宋_GB2312" w:cs="Times New Roman"/>
          <w:sz w:val="28"/>
          <w:szCs w:val="28"/>
        </w:rPr>
      </w:pPr>
      <w:r>
        <w:rPr>
          <w:rFonts w:hint="eastAsia" w:ascii="仿宋_GB2312" w:hAnsi="Times New Roman" w:eastAsia="仿宋_GB2312" w:cs="Times New Roman"/>
          <w:sz w:val="28"/>
          <w:szCs w:val="28"/>
        </w:rPr>
        <w:t>Changjiang Li, Na Wang, Guodong Zheng, Licong Yang. Oral administration of resveratrol-selenium-peptide nanocomposites alleviates Alzheimer’s disease-like pathogenesis by inhibiting Aβ aggregation and regulating gut microbiota</w:t>
      </w:r>
      <w:bookmarkStart w:id="6" w:name="OLE_LINK22"/>
      <w:r>
        <w:rPr>
          <w:rFonts w:hint="eastAsia" w:ascii="仿宋_GB2312" w:hAnsi="Times New Roman" w:eastAsia="仿宋_GB2312" w:cs="Times New Roman"/>
          <w:sz w:val="28"/>
          <w:szCs w:val="28"/>
        </w:rPr>
        <w:t xml:space="preserve">. </w:t>
      </w:r>
      <w:r>
        <w:rPr>
          <w:rFonts w:hint="eastAsia" w:ascii="仿宋_GB2312" w:hAnsi="Times New Roman" w:eastAsia="仿宋_GB2312" w:cs="Times New Roman"/>
          <w:i/>
          <w:iCs/>
          <w:sz w:val="28"/>
          <w:szCs w:val="28"/>
        </w:rPr>
        <w:t>ACS Appl. Mater. Interfaces</w:t>
      </w:r>
      <w:r>
        <w:rPr>
          <w:rFonts w:hint="eastAsia" w:ascii="仿宋_GB2312" w:hAnsi="Times New Roman" w:eastAsia="仿宋_GB2312" w:cs="Times New Roman"/>
          <w:sz w:val="28"/>
          <w:szCs w:val="28"/>
        </w:rPr>
        <w:t>, 202</w:t>
      </w:r>
      <w:bookmarkEnd w:id="6"/>
      <w:r>
        <w:rPr>
          <w:rFonts w:hint="eastAsia" w:ascii="仿宋_GB2312" w:hAnsi="Times New Roman" w:eastAsia="仿宋_GB2312" w:cs="Times New Roman"/>
          <w:sz w:val="28"/>
          <w:szCs w:val="28"/>
        </w:rPr>
        <w:t xml:space="preserve">1,13(39): 46406-46420. </w:t>
      </w:r>
    </w:p>
    <w:p w14:paraId="41D9020B">
      <w:pPr>
        <w:numPr>
          <w:ilvl w:val="0"/>
          <w:numId w:val="1"/>
        </w:numPr>
        <w:rPr>
          <w:rFonts w:ascii="仿宋_GB2312" w:hAnsi="Times New Roman" w:eastAsia="仿宋_GB2312" w:cs="Times New Roman"/>
          <w:sz w:val="28"/>
          <w:szCs w:val="28"/>
        </w:rPr>
      </w:pPr>
      <w:r>
        <w:rPr>
          <w:rFonts w:hint="eastAsia" w:ascii="仿宋_GB2312" w:hAnsi="Times New Roman" w:eastAsia="仿宋_GB2312" w:cs="Times New Roman"/>
          <w:sz w:val="28"/>
          <w:szCs w:val="28"/>
        </w:rPr>
        <w:t xml:space="preserve">Xin Li, Licong Yang, Jingen Li, Lezhen Lin, Guodong Zheng. A flavonoid-rich </w:t>
      </w:r>
      <w:r>
        <w:rPr>
          <w:rFonts w:hint="eastAsia" w:ascii="仿宋_GB2312" w:hAnsi="Times New Roman" w:eastAsia="仿宋_GB2312" w:cs="Times New Roman"/>
          <w:i/>
          <w:iCs/>
          <w:sz w:val="28"/>
          <w:szCs w:val="28"/>
        </w:rPr>
        <w:t>Smilax china</w:t>
      </w:r>
      <w:r>
        <w:rPr>
          <w:rFonts w:hint="eastAsia" w:ascii="仿宋_GB2312" w:hAnsi="Times New Roman" w:eastAsia="仿宋_GB2312" w:cs="Times New Roman"/>
          <w:sz w:val="28"/>
          <w:szCs w:val="28"/>
        </w:rPr>
        <w:t xml:space="preserve"> L. extract prevents obesity by upregulating adiponectin-receptor/AMPK signaling pathway and modulating the gut microbiota in mice. </w:t>
      </w:r>
      <w:r>
        <w:rPr>
          <w:rFonts w:hint="eastAsia" w:ascii="仿宋_GB2312" w:hAnsi="Times New Roman" w:eastAsia="仿宋_GB2312" w:cs="Times New Roman"/>
          <w:i/>
          <w:iCs/>
          <w:sz w:val="28"/>
          <w:szCs w:val="28"/>
        </w:rPr>
        <w:t>Food Funct.</w:t>
      </w:r>
      <w:r>
        <w:rPr>
          <w:rFonts w:hint="eastAsia" w:ascii="仿宋_GB2312" w:hAnsi="Times New Roman" w:eastAsia="仿宋_GB2312" w:cs="Times New Roman"/>
          <w:sz w:val="28"/>
          <w:szCs w:val="28"/>
        </w:rPr>
        <w:t xml:space="preserve">, 2021, 12, 5862-5875. </w:t>
      </w:r>
    </w:p>
    <w:p w14:paraId="293C7F9B">
      <w:pPr>
        <w:numPr>
          <w:ilvl w:val="0"/>
          <w:numId w:val="1"/>
        </w:numPr>
        <w:rPr>
          <w:rFonts w:ascii="仿宋_GB2312" w:hAnsi="Times New Roman" w:eastAsia="仿宋_GB2312" w:cs="Times New Roman"/>
          <w:sz w:val="28"/>
          <w:szCs w:val="28"/>
        </w:rPr>
      </w:pPr>
      <w:r>
        <w:fldChar w:fldCharType="begin"/>
      </w:r>
      <w:r>
        <w:instrText xml:space="preserve"> HYPERLINK "https://www.sciencedirect.com/science/article/pii/S0141813019301667?dgcid=coauthor" \l "!" </w:instrText>
      </w:r>
      <w:r>
        <w:fldChar w:fldCharType="separate"/>
      </w:r>
      <w:r>
        <w:rPr>
          <w:rFonts w:hint="eastAsia" w:ascii="仿宋_GB2312" w:hAnsi="Times New Roman" w:eastAsia="仿宋_GB2312" w:cs="Times New Roman"/>
          <w:sz w:val="28"/>
          <w:szCs w:val="28"/>
        </w:rPr>
        <w:t>Lulu Chu</w:t>
      </w:r>
      <w:r>
        <w:rPr>
          <w:rFonts w:hint="eastAsia" w:ascii="仿宋_GB2312" w:hAnsi="Times New Roman" w:eastAsia="仿宋_GB2312" w:cs="Times New Roman"/>
          <w:sz w:val="28"/>
          <w:szCs w:val="28"/>
        </w:rPr>
        <w:fldChar w:fldCharType="end"/>
      </w:r>
      <w:bookmarkStart w:id="7" w:name="bau0010"/>
      <w:r>
        <w:rPr>
          <w:rFonts w:hint="eastAsia" w:ascii="仿宋_GB2312" w:hAnsi="Times New Roman" w:eastAsia="仿宋_GB2312" w:cs="Times New Roman"/>
          <w:sz w:val="28"/>
          <w:szCs w:val="28"/>
        </w:rPr>
        <w:t xml:space="preserve">, </w:t>
      </w:r>
      <w:r>
        <w:fldChar w:fldCharType="begin"/>
      </w:r>
      <w:r>
        <w:instrText xml:space="preserve"> HYPERLINK "https://www.sciencedirect.com/science/article/pii/S0141813019301667?dgcid=coauthor" \l "!" </w:instrText>
      </w:r>
      <w:r>
        <w:fldChar w:fldCharType="separate"/>
      </w:r>
      <w:r>
        <w:rPr>
          <w:rFonts w:hint="eastAsia" w:ascii="仿宋_GB2312" w:hAnsi="Times New Roman" w:eastAsia="仿宋_GB2312" w:cs="Times New Roman"/>
          <w:sz w:val="28"/>
          <w:szCs w:val="28"/>
        </w:rPr>
        <w:t>Licong Yang</w:t>
      </w:r>
      <w:bookmarkEnd w:id="7"/>
      <w:r>
        <w:rPr>
          <w:rFonts w:hint="eastAsia" w:ascii="仿宋_GB2312" w:hAnsi="Times New Roman" w:eastAsia="仿宋_GB2312" w:cs="Times New Roman"/>
          <w:sz w:val="28"/>
          <w:szCs w:val="28"/>
        </w:rPr>
        <w:fldChar w:fldCharType="end"/>
      </w:r>
      <w:bookmarkStart w:id="8" w:name="bau0015"/>
      <w:r>
        <w:rPr>
          <w:rFonts w:hint="eastAsia" w:ascii="仿宋_GB2312" w:hAnsi="Times New Roman" w:eastAsia="仿宋_GB2312" w:cs="Times New Roman"/>
          <w:sz w:val="28"/>
          <w:szCs w:val="28"/>
        </w:rPr>
        <w:t xml:space="preserve">, </w:t>
      </w:r>
      <w:r>
        <w:fldChar w:fldCharType="begin"/>
      </w:r>
      <w:r>
        <w:instrText xml:space="preserve"> HYPERLINK "https://www.sciencedirect.com/science/article/pii/S0141813019301667?dgcid=coauthor" \l "!" </w:instrText>
      </w:r>
      <w:r>
        <w:fldChar w:fldCharType="separate"/>
      </w:r>
      <w:r>
        <w:rPr>
          <w:rFonts w:hint="eastAsia" w:ascii="仿宋_GB2312" w:hAnsi="Times New Roman" w:eastAsia="仿宋_GB2312" w:cs="Times New Roman"/>
          <w:sz w:val="28"/>
          <w:szCs w:val="28"/>
        </w:rPr>
        <w:t>Jingen Li</w:t>
      </w:r>
      <w:bookmarkEnd w:id="8"/>
      <w:r>
        <w:rPr>
          <w:rFonts w:hint="eastAsia" w:ascii="仿宋_GB2312" w:hAnsi="Times New Roman" w:eastAsia="仿宋_GB2312" w:cs="Times New Roman"/>
          <w:sz w:val="28"/>
          <w:szCs w:val="28"/>
        </w:rPr>
        <w:fldChar w:fldCharType="end"/>
      </w:r>
      <w:bookmarkStart w:id="9" w:name="bau0020"/>
      <w:r>
        <w:rPr>
          <w:rFonts w:hint="eastAsia" w:ascii="仿宋_GB2312" w:hAnsi="Times New Roman" w:eastAsia="仿宋_GB2312" w:cs="Times New Roman"/>
          <w:sz w:val="28"/>
          <w:szCs w:val="28"/>
        </w:rPr>
        <w:t xml:space="preserve">, </w:t>
      </w:r>
      <w:r>
        <w:fldChar w:fldCharType="begin"/>
      </w:r>
      <w:r>
        <w:instrText xml:space="preserve"> HYPERLINK "https://www.sciencedirect.com/science/article/pii/S0141813019301667?dgcid=coauthor" \l "!" </w:instrText>
      </w:r>
      <w:r>
        <w:fldChar w:fldCharType="separate"/>
      </w:r>
      <w:r>
        <w:rPr>
          <w:rFonts w:hint="eastAsia" w:ascii="仿宋_GB2312" w:hAnsi="Times New Roman" w:eastAsia="仿宋_GB2312" w:cs="Times New Roman"/>
          <w:sz w:val="28"/>
          <w:szCs w:val="28"/>
        </w:rPr>
        <w:t>Lezhen Lin</w:t>
      </w:r>
      <w:bookmarkEnd w:id="9"/>
      <w:r>
        <w:rPr>
          <w:rFonts w:hint="eastAsia" w:ascii="仿宋_GB2312" w:hAnsi="Times New Roman" w:eastAsia="仿宋_GB2312" w:cs="Times New Roman"/>
          <w:sz w:val="28"/>
          <w:szCs w:val="28"/>
        </w:rPr>
        <w:fldChar w:fldCharType="end"/>
      </w:r>
      <w:bookmarkStart w:id="10" w:name="bau0025"/>
      <w:r>
        <w:rPr>
          <w:rFonts w:hint="eastAsia" w:ascii="仿宋_GB2312" w:hAnsi="Times New Roman" w:eastAsia="仿宋_GB2312" w:cs="Times New Roman"/>
          <w:sz w:val="28"/>
          <w:szCs w:val="28"/>
        </w:rPr>
        <w:t xml:space="preserve">, </w:t>
      </w:r>
      <w:r>
        <w:fldChar w:fldCharType="begin"/>
      </w:r>
      <w:r>
        <w:instrText xml:space="preserve"> HYPERLINK "https://www.sciencedirect.com/science/article/pii/S0141813019301667?dgcid=coauthor" \l "!" </w:instrText>
      </w:r>
      <w:r>
        <w:fldChar w:fldCharType="separate"/>
      </w:r>
      <w:r>
        <w:rPr>
          <w:rFonts w:hint="eastAsia" w:ascii="仿宋_GB2312" w:hAnsi="Times New Roman" w:eastAsia="仿宋_GB2312" w:cs="Times New Roman"/>
          <w:sz w:val="28"/>
          <w:szCs w:val="28"/>
        </w:rPr>
        <w:t>Guodong Zheng</w:t>
      </w:r>
      <w:bookmarkEnd w:id="10"/>
      <w:r>
        <w:rPr>
          <w:rFonts w:hint="eastAsia" w:ascii="仿宋_GB2312" w:hAnsi="Times New Roman" w:eastAsia="仿宋_GB2312" w:cs="Times New Roman"/>
          <w:sz w:val="28"/>
          <w:szCs w:val="28"/>
        </w:rPr>
        <w:fldChar w:fldCharType="end"/>
      </w:r>
      <w:r>
        <w:rPr>
          <w:rFonts w:hint="eastAsia" w:ascii="仿宋_GB2312" w:hAnsi="Times New Roman" w:eastAsia="仿宋_GB2312" w:cs="Times New Roman"/>
          <w:sz w:val="28"/>
          <w:szCs w:val="28"/>
        </w:rPr>
        <w:t>. Effect of </w:t>
      </w:r>
      <w:r>
        <w:rPr>
          <w:rFonts w:hint="eastAsia" w:ascii="仿宋_GB2312" w:hAnsi="Times New Roman" w:eastAsia="仿宋_GB2312" w:cs="Times New Roman"/>
          <w:i/>
          <w:iCs/>
          <w:sz w:val="28"/>
          <w:szCs w:val="28"/>
        </w:rPr>
        <w:t>Smilax china</w:t>
      </w:r>
      <w:r>
        <w:rPr>
          <w:rFonts w:hint="eastAsia" w:ascii="仿宋_GB2312" w:hAnsi="Times New Roman" w:eastAsia="仿宋_GB2312" w:cs="Times New Roman"/>
          <w:sz w:val="28"/>
          <w:szCs w:val="28"/>
        </w:rPr>
        <w:t xml:space="preserve"> L. starch on the gel properties and interactions of calcium sulfate-induced soy protein isolate gel [J]. </w:t>
      </w:r>
      <w:r>
        <w:rPr>
          <w:rFonts w:hint="eastAsia" w:ascii="仿宋_GB2312" w:hAnsi="Times New Roman" w:eastAsia="仿宋_GB2312" w:cs="Times New Roman"/>
          <w:i/>
          <w:iCs/>
          <w:sz w:val="28"/>
          <w:szCs w:val="28"/>
        </w:rPr>
        <w:t>Int. J. Biol. Macromol.</w:t>
      </w:r>
      <w:r>
        <w:rPr>
          <w:rFonts w:hint="eastAsia" w:ascii="仿宋_GB2312" w:hAnsi="Times New Roman" w:eastAsia="仿宋_GB2312" w:cs="Times New Roman"/>
          <w:sz w:val="28"/>
          <w:szCs w:val="28"/>
        </w:rPr>
        <w:t xml:space="preserve">, 2019, 135: 127-132. </w:t>
      </w:r>
    </w:p>
    <w:p w14:paraId="14C55577">
      <w:pPr>
        <w:numPr>
          <w:ilvl w:val="0"/>
          <w:numId w:val="1"/>
        </w:numPr>
        <w:rPr>
          <w:rFonts w:ascii="仿宋_GB2312" w:hAnsi="Times New Roman" w:eastAsia="仿宋_GB2312" w:cs="Times New Roman"/>
          <w:sz w:val="28"/>
          <w:szCs w:val="28"/>
        </w:rPr>
      </w:pPr>
      <w:r>
        <w:rPr>
          <w:rFonts w:hint="eastAsia" w:ascii="仿宋_GB2312" w:hAnsi="Times New Roman" w:eastAsia="仿宋_GB2312" w:cs="Times New Roman"/>
          <w:sz w:val="28"/>
          <w:szCs w:val="28"/>
        </w:rPr>
        <w:t xml:space="preserve">Licong Yang, Wenjun Wang, Jiguang Chen, Na Wang, Guodong Zheng. A comparative study of resveratrol and resveratrol-functional selenium nanoparticles: Inhibiting amyloid β aggregation and reactive oxygen species formation properties[J]. </w:t>
      </w:r>
      <w:r>
        <w:rPr>
          <w:rFonts w:hint="eastAsia" w:ascii="仿宋_GB2312" w:hAnsi="Times New Roman" w:eastAsia="仿宋_GB2312" w:cs="Times New Roman"/>
          <w:i/>
          <w:iCs/>
          <w:sz w:val="28"/>
          <w:szCs w:val="28"/>
        </w:rPr>
        <w:t>J. Biomed. Mater. Res. A</w:t>
      </w:r>
      <w:r>
        <w:rPr>
          <w:rFonts w:hint="eastAsia" w:ascii="仿宋_GB2312" w:hAnsi="Times New Roman" w:eastAsia="仿宋_GB2312" w:cs="Times New Roman"/>
          <w:sz w:val="28"/>
          <w:szCs w:val="28"/>
        </w:rPr>
        <w:t xml:space="preserve">, 2018, 106A:3034-3041. </w:t>
      </w:r>
    </w:p>
    <w:p w14:paraId="56B72D0B">
      <w:pPr>
        <w:rPr>
          <w:rFonts w:ascii="仿宋_GB2312" w:hAnsi="Times New Roman" w:eastAsia="仿宋_GB2312" w:cs="Times New Roman"/>
          <w:sz w:val="28"/>
          <w:szCs w:val="28"/>
        </w:rPr>
      </w:pPr>
      <w:bookmarkStart w:id="11" w:name="_Hlk184886131"/>
      <w:r>
        <w:rPr>
          <w:rFonts w:hint="eastAsia" w:ascii="仿宋_GB2312" w:hAnsi="Times New Roman" w:eastAsia="仿宋_GB2312" w:cs="Times New Roman"/>
          <w:b/>
          <w:bCs/>
          <w:sz w:val="28"/>
          <w:szCs w:val="28"/>
        </w:rPr>
        <w:t>主要完成人情况：</w:t>
      </w:r>
    </w:p>
    <w:bookmarkEnd w:id="11"/>
    <w:p w14:paraId="4401EB97">
      <w:pPr>
        <w:numPr>
          <w:ilvl w:val="0"/>
          <w:numId w:val="2"/>
        </w:numPr>
        <w:rPr>
          <w:rFonts w:ascii="仿宋_GB2312" w:hAnsi="Times New Roman" w:eastAsia="仿宋_GB2312" w:cs="Times New Roman"/>
          <w:sz w:val="28"/>
          <w:szCs w:val="28"/>
        </w:rPr>
      </w:pPr>
      <w:r>
        <w:rPr>
          <w:rFonts w:hint="eastAsia" w:ascii="仿宋_GB2312" w:hAnsi="Times New Roman" w:eastAsia="仿宋_GB2312" w:cs="Times New Roman"/>
          <w:sz w:val="28"/>
          <w:szCs w:val="28"/>
        </w:rPr>
        <w:t>郑国栋，排名第一，教授。工作单位：江西农业大学；完成单位：江西农业大学。本项目“成果简介”栏种所列五篇代表作的通讯作者，在该项目研发的方案指导和实施工作，是项目最重要贡献者。</w:t>
      </w:r>
    </w:p>
    <w:p w14:paraId="58F2D971">
      <w:pPr>
        <w:numPr>
          <w:ilvl w:val="0"/>
          <w:numId w:val="2"/>
        </w:numPr>
        <w:rPr>
          <w:rFonts w:ascii="仿宋_GB2312" w:hAnsi="Times New Roman" w:eastAsia="仿宋_GB2312" w:cs="Times New Roman"/>
          <w:sz w:val="28"/>
          <w:szCs w:val="28"/>
        </w:rPr>
      </w:pPr>
      <w:r>
        <w:rPr>
          <w:rFonts w:hint="eastAsia" w:ascii="仿宋_GB2312" w:hAnsi="Times New Roman" w:eastAsia="仿宋_GB2312" w:cs="Times New Roman"/>
          <w:sz w:val="28"/>
          <w:szCs w:val="28"/>
        </w:rPr>
        <w:t>杨丽聪，排名第二，副教授。工作单位：福州大学；完成单位：江西农业大学、福州大学（2021年3月从江西农业大学调到福州大学）。本项目“成果简介”栏种所列代表作2和4的共同通讯作者，代表作5的第一作者，代表作3的第二作者，在该项目研发工作中起到重要作用，负责菝葜功能性成分的修饰和活性研究。</w:t>
      </w:r>
    </w:p>
    <w:p w14:paraId="540B3F22">
      <w:pPr>
        <w:numPr>
          <w:ilvl w:val="0"/>
          <w:numId w:val="2"/>
        </w:numPr>
        <w:rPr>
          <w:rFonts w:ascii="仿宋_GB2312" w:hAnsi="Times New Roman" w:eastAsia="仿宋_GB2312" w:cs="Times New Roman"/>
          <w:sz w:val="28"/>
          <w:szCs w:val="28"/>
        </w:rPr>
      </w:pPr>
      <w:r>
        <w:rPr>
          <w:rFonts w:hint="eastAsia" w:ascii="仿宋_GB2312" w:hAnsi="Times New Roman" w:eastAsia="仿宋_GB2312" w:cs="Times New Roman"/>
          <w:sz w:val="28"/>
          <w:szCs w:val="28"/>
        </w:rPr>
        <w:t>李景恩，排名第三，讲师。工作单位：江西农业大学；完成单位：江西农业大学。本项目“成果简介”栏种所列代表作3和4第三作者，在该项目研发工作起到主要作用，负责菝葜成分分离鉴定及功能研究。</w:t>
      </w:r>
    </w:p>
    <w:p w14:paraId="2AAA37D5">
      <w:pPr>
        <w:rPr>
          <w:rFonts w:ascii="仿宋_GB2312" w:hAnsi="Times New Roman" w:eastAsia="仿宋_GB2312" w:cs="Times New Roman"/>
          <w:sz w:val="28"/>
          <w:szCs w:val="28"/>
        </w:rPr>
      </w:pPr>
      <w:r>
        <w:rPr>
          <w:rFonts w:hint="eastAsia" w:ascii="仿宋_GB2312" w:hAnsi="Times New Roman" w:eastAsia="仿宋_GB2312" w:cs="Times New Roman"/>
          <w:b/>
          <w:bCs/>
          <w:sz w:val="28"/>
          <w:szCs w:val="28"/>
        </w:rPr>
        <w:t>主要完成单位情况：</w:t>
      </w:r>
    </w:p>
    <w:p w14:paraId="65880C62">
      <w:pPr>
        <w:pStyle w:val="6"/>
        <w:ind w:left="360" w:firstLine="0" w:firstLineChars="0"/>
        <w:rPr>
          <w:rFonts w:ascii="仿宋_GB2312" w:hAnsi="Times New Roman" w:eastAsia="仿宋_GB2312" w:cs="Times New Roman"/>
          <w:sz w:val="28"/>
          <w:szCs w:val="28"/>
        </w:rPr>
      </w:pPr>
      <w:r>
        <w:rPr>
          <w:rFonts w:hint="eastAsia" w:ascii="仿宋_GB2312" w:hAnsi="Times New Roman" w:eastAsia="仿宋_GB2312" w:cs="Times New Roman"/>
          <w:sz w:val="28"/>
          <w:szCs w:val="28"/>
        </w:rPr>
        <w:t>江西农业大学，排名第一，本项目候选人郑国栋和李景恩的工作单位；候选人杨丽聪，2021年3月从江西农业大学调动到福州大学，本项目的相关工作主要在江西农业大学完成，5篇代表作第一署名单位都是江西农业大学。</w:t>
      </w:r>
    </w:p>
    <w:sectPr>
      <w:pgSz w:w="11906" w:h="16838"/>
      <w:pgMar w:top="1440" w:right="1800" w:bottom="1440" w:left="1180"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7F57A0"/>
    <w:multiLevelType w:val="singleLevel"/>
    <w:tmpl w:val="D17F57A0"/>
    <w:lvl w:ilvl="0" w:tentative="0">
      <w:start w:val="1"/>
      <w:numFmt w:val="decimal"/>
      <w:suff w:val="space"/>
      <w:lvlText w:val="%1)"/>
      <w:lvlJc w:val="left"/>
    </w:lvl>
  </w:abstractNum>
  <w:abstractNum w:abstractNumId="1">
    <w:nsid w:val="08F55747"/>
    <w:multiLevelType w:val="singleLevel"/>
    <w:tmpl w:val="08F55747"/>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trackRevisions w:val="1"/>
  <w:documentProtection w:enforcement="0"/>
  <w:defaultTabStop w:val="420"/>
  <w:drawingGridVerticalSpacing w:val="156"/>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3DB0223"/>
    <w:rsid w:val="000915C7"/>
    <w:rsid w:val="0015671E"/>
    <w:rsid w:val="00185221"/>
    <w:rsid w:val="002A13DF"/>
    <w:rsid w:val="00463F58"/>
    <w:rsid w:val="005450BC"/>
    <w:rsid w:val="00562F57"/>
    <w:rsid w:val="00891C91"/>
    <w:rsid w:val="00954AEF"/>
    <w:rsid w:val="00AD1E3A"/>
    <w:rsid w:val="00EA534A"/>
    <w:rsid w:val="0C390E62"/>
    <w:rsid w:val="23DB0223"/>
    <w:rsid w:val="2A244472"/>
    <w:rsid w:val="2D995205"/>
    <w:rsid w:val="32995A2C"/>
    <w:rsid w:val="4DF15670"/>
    <w:rsid w:val="4E484F8E"/>
    <w:rsid w:val="6AF24FBD"/>
    <w:rsid w:val="6DFA23BF"/>
    <w:rsid w:val="6EEC6242"/>
    <w:rsid w:val="70B8091F"/>
    <w:rsid w:val="7F607A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styleId="6">
    <w:name w:val="List Paragraph"/>
    <w:basedOn w:val="1"/>
    <w:qFormat/>
    <w:uiPriority w:val="99"/>
    <w:pPr>
      <w:ind w:firstLine="420" w:firstLineChars="200"/>
    </w:pPr>
  </w:style>
  <w:style w:type="character" w:customStyle="1" w:styleId="7">
    <w:name w:val="页眉 字符"/>
    <w:basedOn w:val="5"/>
    <w:link w:val="3"/>
    <w:qFormat/>
    <w:uiPriority w:val="0"/>
    <w:rPr>
      <w:rFonts w:asciiTheme="minorHAnsi" w:hAnsiTheme="minorHAnsi" w:eastAsiaTheme="minorEastAsia" w:cstheme="minorBidi"/>
      <w:kern w:val="2"/>
      <w:sz w:val="18"/>
      <w:szCs w:val="18"/>
    </w:rPr>
  </w:style>
  <w:style w:type="character" w:customStyle="1" w:styleId="8">
    <w:name w:val="页脚 字符"/>
    <w:basedOn w:val="5"/>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1586</Words>
  <Characters>2781</Characters>
  <Lines>29</Lines>
  <Paragraphs>8</Paragraphs>
  <TotalTime>1</TotalTime>
  <ScaleCrop>false</ScaleCrop>
  <LinksUpToDate>false</LinksUpToDate>
  <CharactersWithSpaces>2977</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2024-11-22T02:02:00Z</dcterms:created>
  <dc:creator>郑国栋</dc:creator>
  <cp:lastModifiedBy>111</cp:lastModifiedBy>
  <dcterms:modified xsi:type="dcterms:W3CDTF">2024-12-14T02:34:45Z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F5361E6C65B2434BBC9B61C332795977_12</vt:lpwstr>
  </property>
</Properties>
</file>