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1F326D">
      <w:pPr>
        <w:adjustRightInd w:val="0"/>
        <w:snapToGrid w:val="0"/>
        <w:spacing w:line="360" w:lineRule="auto"/>
        <w:rPr>
          <w:rFonts w:ascii="仿宋_GB2312" w:eastAsia="仿宋_GB2312"/>
          <w:kern w:val="0"/>
          <w:sz w:val="28"/>
          <w:szCs w:val="28"/>
        </w:rPr>
      </w:pPr>
      <w:r>
        <w:rPr>
          <w:rFonts w:hint="eastAsia" w:ascii="仿宋_GB2312" w:eastAsia="仿宋_GB2312"/>
          <w:b/>
          <w:bCs/>
          <w:kern w:val="0"/>
          <w:sz w:val="28"/>
          <w:szCs w:val="28"/>
        </w:rPr>
        <w:t>项目名称</w:t>
      </w:r>
      <w:r>
        <w:rPr>
          <w:rFonts w:hint="eastAsia" w:ascii="仿宋_GB2312" w:eastAsia="仿宋_GB2312"/>
          <w:kern w:val="0"/>
          <w:sz w:val="28"/>
          <w:szCs w:val="28"/>
        </w:rPr>
        <w:t>：肾型传染性支气管炎病毒致鸡痛风的机理研究</w:t>
      </w:r>
    </w:p>
    <w:p w14:paraId="1ED5907F">
      <w:pPr>
        <w:adjustRightInd w:val="0"/>
        <w:snapToGrid w:val="0"/>
        <w:spacing w:line="360" w:lineRule="auto"/>
        <w:rPr>
          <w:rFonts w:ascii="仿宋_GB2312" w:eastAsia="仿宋_GB2312"/>
          <w:kern w:val="0"/>
          <w:sz w:val="28"/>
          <w:szCs w:val="28"/>
        </w:rPr>
      </w:pPr>
      <w:r>
        <w:rPr>
          <w:rFonts w:hint="eastAsia" w:ascii="仿宋_GB2312" w:eastAsia="仿宋_GB2312"/>
          <w:b/>
          <w:bCs/>
          <w:kern w:val="0"/>
          <w:sz w:val="28"/>
          <w:szCs w:val="28"/>
        </w:rPr>
        <w:t>提名者：</w:t>
      </w:r>
      <w:r>
        <w:rPr>
          <w:rFonts w:hint="eastAsia" w:ascii="仿宋_GB2312" w:eastAsia="仿宋_GB2312"/>
          <w:kern w:val="0"/>
          <w:sz w:val="28"/>
          <w:szCs w:val="28"/>
        </w:rPr>
        <w:t>江西省教育厅</w:t>
      </w:r>
    </w:p>
    <w:p w14:paraId="65489E65">
      <w:pPr>
        <w:adjustRightInd w:val="0"/>
        <w:snapToGrid w:val="0"/>
        <w:spacing w:line="360" w:lineRule="auto"/>
        <w:rPr>
          <w:rFonts w:ascii="仿宋_GB2312" w:eastAsia="仿宋_GB2312"/>
          <w:b/>
          <w:bCs/>
          <w:kern w:val="0"/>
          <w:sz w:val="28"/>
          <w:szCs w:val="28"/>
        </w:rPr>
      </w:pPr>
      <w:r>
        <w:rPr>
          <w:rFonts w:hint="eastAsia" w:ascii="仿宋_GB2312" w:eastAsia="仿宋_GB2312"/>
          <w:b/>
          <w:bCs/>
          <w:kern w:val="0"/>
          <w:sz w:val="28"/>
          <w:szCs w:val="28"/>
        </w:rPr>
        <w:t>提名意见：</w:t>
      </w:r>
      <w:bookmarkStart w:id="1" w:name="_GoBack"/>
      <w:bookmarkEnd w:id="1"/>
    </w:p>
    <w:p w14:paraId="1CF6B481">
      <w:pPr>
        <w:adjustRightInd w:val="0"/>
        <w:snapToGrid w:val="0"/>
        <w:spacing w:line="360" w:lineRule="auto"/>
        <w:ind w:firstLine="420" w:firstLineChars="150"/>
        <w:rPr>
          <w:rFonts w:ascii="仿宋_GB2312" w:eastAsia="仿宋_GB2312"/>
          <w:kern w:val="0"/>
          <w:sz w:val="28"/>
          <w:szCs w:val="28"/>
        </w:rPr>
      </w:pPr>
      <w:r>
        <w:rPr>
          <w:rFonts w:hint="eastAsia" w:ascii="仿宋_GB2312" w:eastAsia="仿宋_GB2312"/>
          <w:kern w:val="0"/>
          <w:sz w:val="28"/>
          <w:szCs w:val="28"/>
        </w:rPr>
        <w:t>本项目紧紧围绕着肾型传支病毒（NIBV）致鸡痛风的致病机制尚不清楚、防控困难等科学问题，首次从多组学诠释了肾损伤与NIBV引起过氧化物酶体激活先天免疫信号通路、以及盲肠菌群结构改变等关系，法氏囊免疫组织损伤与免疫相关代谢物的变化引起代谢通路的紊乱的关系；首次揭示了关键信号通路（AMPK、TLR4/TLR7、MDAS/IPS-1）在NIBV致鸡痛风下功能作用；首次制备出了效价高、特异性强的兔抗鸡XOD、P62、LC3、RIPK3等多克隆抗体；研发了黄芩苷、千金藤碱、汉黄芩素等中草药及植物提取剂对NIBV致鸡痛风防控作用，成果得到了国内外著名专家的高度评价和肯定，在科学发现、知识创新和技术发明等方面突破性、原创性明显，整体上达到了国际同类研究的领先水平。</w:t>
      </w:r>
    </w:p>
    <w:p w14:paraId="0C3B68FC">
      <w:pPr>
        <w:adjustRightInd w:val="0"/>
        <w:snapToGrid w:val="0"/>
        <w:spacing w:line="360" w:lineRule="auto"/>
        <w:rPr>
          <w:rFonts w:ascii="仿宋_GB2312" w:eastAsia="仿宋_GB2312"/>
          <w:kern w:val="0"/>
          <w:sz w:val="28"/>
          <w:szCs w:val="28"/>
        </w:rPr>
      </w:pPr>
      <w:r>
        <w:rPr>
          <w:rFonts w:hint="eastAsia" w:ascii="仿宋_GB2312" w:eastAsia="仿宋_GB2312"/>
          <w:b/>
          <w:bCs/>
          <w:kern w:val="0"/>
          <w:sz w:val="28"/>
          <w:szCs w:val="28"/>
        </w:rPr>
        <w:t>提名等级：</w:t>
      </w:r>
      <w:r>
        <w:rPr>
          <w:rFonts w:hint="eastAsia" w:ascii="仿宋_GB2312" w:eastAsia="仿宋_GB2312"/>
          <w:kern w:val="0"/>
          <w:sz w:val="28"/>
          <w:szCs w:val="28"/>
        </w:rPr>
        <w:t>江西省自然科学奖一等奖</w:t>
      </w:r>
    </w:p>
    <w:p w14:paraId="77316763">
      <w:pPr>
        <w:adjustRightInd w:val="0"/>
        <w:snapToGrid w:val="0"/>
        <w:spacing w:line="360" w:lineRule="auto"/>
        <w:rPr>
          <w:rFonts w:ascii="仿宋_GB2312" w:eastAsia="仿宋_GB2312"/>
          <w:b/>
          <w:bCs/>
          <w:kern w:val="0"/>
          <w:sz w:val="28"/>
          <w:szCs w:val="28"/>
        </w:rPr>
      </w:pPr>
      <w:r>
        <w:rPr>
          <w:rFonts w:hint="eastAsia" w:ascii="仿宋_GB2312" w:eastAsia="仿宋_GB2312"/>
          <w:b/>
          <w:bCs/>
          <w:kern w:val="0"/>
          <w:sz w:val="28"/>
          <w:szCs w:val="28"/>
        </w:rPr>
        <w:t>项目简介：</w:t>
      </w:r>
    </w:p>
    <w:p w14:paraId="7DFF6198">
      <w:pPr>
        <w:adjustRightInd w:val="0"/>
        <w:snapToGrid w:val="0"/>
        <w:spacing w:line="360" w:lineRule="auto"/>
        <w:ind w:firstLine="560" w:firstLineChars="200"/>
        <w:rPr>
          <w:rFonts w:ascii="仿宋_GB2312" w:eastAsia="仿宋_GB2312"/>
          <w:kern w:val="0"/>
          <w:sz w:val="28"/>
          <w:szCs w:val="28"/>
        </w:rPr>
      </w:pPr>
      <w:r>
        <w:rPr>
          <w:rFonts w:hint="eastAsia" w:ascii="仿宋_GB2312" w:eastAsia="仿宋_GB2312"/>
          <w:kern w:val="0"/>
          <w:sz w:val="28"/>
          <w:szCs w:val="28"/>
        </w:rPr>
        <w:t>该项目属于</w:t>
      </w:r>
      <w:bookmarkStart w:id="0" w:name="_Hlk182856553"/>
      <w:r>
        <w:rPr>
          <w:rFonts w:hint="eastAsia" w:ascii="仿宋_GB2312" w:eastAsia="仿宋_GB2312"/>
          <w:kern w:val="0"/>
          <w:sz w:val="28"/>
          <w:szCs w:val="28"/>
        </w:rPr>
        <w:t>农业基础科学领域</w:t>
      </w:r>
      <w:bookmarkEnd w:id="0"/>
      <w:r>
        <w:rPr>
          <w:rFonts w:hint="eastAsia" w:ascii="仿宋_GB2312" w:eastAsia="仿宋_GB2312"/>
          <w:kern w:val="0"/>
          <w:sz w:val="28"/>
          <w:szCs w:val="28"/>
        </w:rPr>
        <w:t>，肾型传染性支气管炎病毒（NIBV）感染引起的鸡痛风具有传播范围广、致死率高、传播速度快、难以防控等特点，严重影响养鸡业的发展。本项目开展了NIBV致鸡痛风的机理研究，同时研究了中草药及植物提取剂对NIBV致鸡痛风的防治作用的研究，阐明NIBV致鸡痛风的发病机制，在此基础上建立鸡痛风综合防控措施，对养鸡业发展具有重要学术和生产意义。</w:t>
      </w:r>
    </w:p>
    <w:p w14:paraId="20DDD986">
      <w:pPr>
        <w:adjustRightInd w:val="0"/>
        <w:snapToGrid w:val="0"/>
        <w:spacing w:line="360" w:lineRule="auto"/>
        <w:ind w:firstLine="560" w:firstLineChars="200"/>
        <w:rPr>
          <w:rFonts w:ascii="仿宋_GB2312" w:eastAsia="仿宋_GB2312"/>
          <w:kern w:val="0"/>
          <w:sz w:val="28"/>
          <w:szCs w:val="28"/>
        </w:rPr>
      </w:pPr>
      <w:r>
        <w:rPr>
          <w:rFonts w:hint="eastAsia" w:ascii="仿宋_GB2312" w:eastAsia="仿宋_GB2312"/>
          <w:kern w:val="0"/>
          <w:sz w:val="28"/>
          <w:szCs w:val="28"/>
        </w:rPr>
        <w:t>首先，通过体内外感染NIBV建立鸡痛风模型，发现NIBV病毒可以在鸡的肝脏、脾、法氏囊、肾、回肠和空肠等组织中进行复制，并导致其组织受损伤，引发高尿酸血症；进一步从多组学分析发现NIBV感染后能够引起肾组织中过氧化物酶体显著下调，并显著激活先天免疫系统中的模式识别受体信号通路，且嘌呤代谢发生改变使尿酸合成增加，以及盲肠菌群结构的改变并降低微生物的多样性；法氏囊组织中代谢物分析发现葡萄糖代谢、脂肪酸代谢和氨基酸代谢通路均出现差异代谢物，揭示了免疫相关代谢物的变化及其参与代谢通路的紊乱与免疫组织损伤有着密切的关系；本项目针对鸡痛风相关研究中抗体严重欠缺的问题，首次制备了鸡XOD、LKB1、Beclin1、P62和RIPK3等多克隆抗体，也为家禽相关研究提供技术支持；首次证实NIBV感染引起肾脏中自噬发生受阻，铁代谢、GSH代谢紊乱，肾脏内质网应激、细胞凋亡、铁死亡的发生，部分阐明了NIBV感染致痛风鸡肾脏损伤的发生机制；并且探究复方中药和植物提取物（黄芩苷、汉黄芩素和千金藤碱）对NIBV致鸡痛风的防控效果，为NIBV的防控或者药物研制提供新的靶点和思路，对家禽养殖业可持续发展具有一定的生产和学术意义。</w:t>
      </w:r>
    </w:p>
    <w:p w14:paraId="79AACE86">
      <w:pPr>
        <w:adjustRightInd w:val="0"/>
        <w:snapToGrid w:val="0"/>
        <w:spacing w:line="360" w:lineRule="auto"/>
        <w:ind w:firstLine="560" w:firstLineChars="200"/>
        <w:rPr>
          <w:rFonts w:ascii="仿宋_GB2312" w:eastAsia="仿宋_GB2312"/>
          <w:kern w:val="0"/>
          <w:sz w:val="28"/>
          <w:szCs w:val="28"/>
        </w:rPr>
      </w:pPr>
      <w:r>
        <w:rPr>
          <w:rFonts w:hint="eastAsia" w:ascii="仿宋_GB2312" w:eastAsia="仿宋_GB2312"/>
          <w:kern w:val="0"/>
          <w:sz w:val="28"/>
          <w:szCs w:val="28"/>
        </w:rPr>
        <w:t>项目解析了农业基础科学领域长期关注的NIBV致禽痛风的分子调控机制，分别在Journal Of Virology（一区TOP杂志）、International Journal of Biological Macromolecules（一区TOP杂志）和Poultry Science（一区TOP杂志）等刊物上发表与禽痛风发病机制和防控方法相关研究论文37篇，其中SCI收录15篇，CSID收录22篇。他引 215 次并受到国际著名学术期刊 Nature Communications（14.7）、Microbiome（13.8）和Plos Pathogens（5.5）等文章的正面评价，知识创新成果转化成为关键核心技术获授权国家发明专利1件。本项目的完成，不仅为NIBV致鸡痛风的分子机制提供了重要的科学理论，而且为NIBV的防控方法研究提供了重要技术支撑。此过程中建立和培养了一支优秀的学科队伍，培养了相关博士、硕士研究生21人，多人获得青年兽医拔尖人才、国家奖学金、省政府奖学金及江西省优秀硕士学位论文等荣誉。</w:t>
      </w:r>
    </w:p>
    <w:p w14:paraId="167141F0">
      <w:pPr>
        <w:adjustRightInd w:val="0"/>
        <w:snapToGrid w:val="0"/>
        <w:spacing w:line="360" w:lineRule="auto"/>
        <w:rPr>
          <w:rFonts w:ascii="仿宋_GB2312" w:eastAsia="仿宋_GB2312"/>
          <w:b/>
          <w:bCs/>
          <w:kern w:val="0"/>
          <w:sz w:val="28"/>
          <w:szCs w:val="28"/>
        </w:rPr>
      </w:pPr>
      <w:r>
        <w:rPr>
          <w:rFonts w:hint="eastAsia" w:ascii="仿宋_GB2312" w:eastAsia="仿宋_GB2312"/>
          <w:b/>
          <w:bCs/>
          <w:kern w:val="0"/>
          <w:sz w:val="28"/>
          <w:szCs w:val="28"/>
        </w:rPr>
        <w:t>代表性论文专著目录：</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3"/>
        <w:gridCol w:w="2060"/>
        <w:gridCol w:w="1616"/>
        <w:gridCol w:w="1640"/>
        <w:gridCol w:w="1161"/>
        <w:gridCol w:w="906"/>
        <w:gridCol w:w="636"/>
      </w:tblGrid>
      <w:tr w14:paraId="37EA4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2" w:type="dxa"/>
            <w:vAlign w:val="center"/>
          </w:tcPr>
          <w:p w14:paraId="53EDE926">
            <w:pPr>
              <w:jc w:val="center"/>
              <w:rPr>
                <w:rFonts w:eastAsiaTheme="minorEastAsia"/>
                <w:b/>
                <w:bCs/>
                <w:kern w:val="0"/>
                <w:szCs w:val="21"/>
              </w:rPr>
            </w:pPr>
            <w:r>
              <w:rPr>
                <w:rFonts w:hint="eastAsia" w:eastAsiaTheme="minorEastAsia"/>
                <w:b/>
                <w:bCs/>
                <w:kern w:val="0"/>
                <w:szCs w:val="21"/>
              </w:rPr>
              <w:t>序号</w:t>
            </w:r>
          </w:p>
        </w:tc>
        <w:tc>
          <w:tcPr>
            <w:tcW w:w="2060" w:type="dxa"/>
            <w:vAlign w:val="center"/>
          </w:tcPr>
          <w:p w14:paraId="69162ACC">
            <w:pPr>
              <w:jc w:val="center"/>
              <w:rPr>
                <w:rFonts w:eastAsiaTheme="minorEastAsia"/>
                <w:b/>
                <w:bCs/>
                <w:kern w:val="0"/>
                <w:szCs w:val="21"/>
              </w:rPr>
            </w:pPr>
            <w:r>
              <w:rPr>
                <w:rFonts w:hint="eastAsia" w:eastAsiaTheme="minorEastAsia"/>
                <w:b/>
                <w:bCs/>
                <w:kern w:val="0"/>
                <w:szCs w:val="21"/>
              </w:rPr>
              <w:t>论文题目</w:t>
            </w:r>
          </w:p>
        </w:tc>
        <w:tc>
          <w:tcPr>
            <w:tcW w:w="1293" w:type="dxa"/>
            <w:vAlign w:val="center"/>
          </w:tcPr>
          <w:p w14:paraId="1274C5B4">
            <w:pPr>
              <w:jc w:val="center"/>
              <w:rPr>
                <w:rFonts w:eastAsiaTheme="minorEastAsia"/>
                <w:b/>
                <w:bCs/>
                <w:kern w:val="0"/>
                <w:szCs w:val="21"/>
              </w:rPr>
            </w:pPr>
            <w:r>
              <w:rPr>
                <w:rFonts w:hint="eastAsia" w:eastAsiaTheme="minorEastAsia"/>
                <w:b/>
                <w:bCs/>
                <w:kern w:val="0"/>
                <w:szCs w:val="21"/>
              </w:rPr>
              <w:t>发表刊物</w:t>
            </w:r>
          </w:p>
        </w:tc>
        <w:tc>
          <w:tcPr>
            <w:tcW w:w="1640" w:type="dxa"/>
            <w:vAlign w:val="center"/>
          </w:tcPr>
          <w:p w14:paraId="24D14BF4">
            <w:pPr>
              <w:jc w:val="center"/>
              <w:rPr>
                <w:rFonts w:eastAsiaTheme="minorEastAsia"/>
                <w:b/>
                <w:bCs/>
                <w:kern w:val="0"/>
                <w:szCs w:val="21"/>
              </w:rPr>
            </w:pPr>
            <w:r>
              <w:rPr>
                <w:rFonts w:hint="eastAsia" w:eastAsiaTheme="minorEastAsia"/>
                <w:b/>
                <w:bCs/>
                <w:kern w:val="0"/>
                <w:szCs w:val="21"/>
              </w:rPr>
              <w:t>年卷页码</w:t>
            </w:r>
          </w:p>
        </w:tc>
        <w:tc>
          <w:tcPr>
            <w:tcW w:w="1161" w:type="dxa"/>
            <w:vAlign w:val="center"/>
          </w:tcPr>
          <w:p w14:paraId="0C5BA703">
            <w:pPr>
              <w:jc w:val="center"/>
              <w:rPr>
                <w:rFonts w:eastAsiaTheme="minorEastAsia"/>
                <w:b/>
                <w:bCs/>
                <w:kern w:val="0"/>
                <w:szCs w:val="21"/>
              </w:rPr>
            </w:pPr>
            <w:r>
              <w:rPr>
                <w:rFonts w:hint="eastAsia" w:eastAsiaTheme="minorEastAsia"/>
                <w:b/>
                <w:bCs/>
                <w:kern w:val="0"/>
                <w:szCs w:val="21"/>
              </w:rPr>
              <w:t>发表时间</w:t>
            </w:r>
          </w:p>
        </w:tc>
        <w:tc>
          <w:tcPr>
            <w:tcW w:w="1044" w:type="dxa"/>
            <w:vAlign w:val="center"/>
          </w:tcPr>
          <w:p w14:paraId="3322C9A0">
            <w:pPr>
              <w:jc w:val="center"/>
              <w:rPr>
                <w:rFonts w:eastAsiaTheme="minorEastAsia"/>
                <w:b/>
                <w:bCs/>
                <w:kern w:val="0"/>
                <w:szCs w:val="21"/>
              </w:rPr>
            </w:pPr>
            <w:r>
              <w:rPr>
                <w:rFonts w:hint="eastAsia" w:eastAsiaTheme="minorEastAsia"/>
                <w:b/>
                <w:bCs/>
                <w:kern w:val="0"/>
                <w:szCs w:val="21"/>
              </w:rPr>
              <w:t>作者，通讯作者*</w:t>
            </w:r>
          </w:p>
        </w:tc>
        <w:tc>
          <w:tcPr>
            <w:tcW w:w="743" w:type="dxa"/>
            <w:vAlign w:val="center"/>
          </w:tcPr>
          <w:p w14:paraId="589DC70E">
            <w:pPr>
              <w:jc w:val="center"/>
              <w:rPr>
                <w:rFonts w:eastAsiaTheme="minorEastAsia"/>
                <w:b/>
                <w:bCs/>
                <w:kern w:val="0"/>
                <w:szCs w:val="21"/>
              </w:rPr>
            </w:pPr>
            <w:r>
              <w:rPr>
                <w:rFonts w:hint="eastAsia" w:eastAsiaTheme="minorEastAsia"/>
                <w:b/>
                <w:bCs/>
                <w:kern w:val="0"/>
                <w:szCs w:val="21"/>
              </w:rPr>
              <w:t>第一署名单位</w:t>
            </w:r>
          </w:p>
        </w:tc>
      </w:tr>
      <w:tr w14:paraId="3CAD0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2" w:type="dxa"/>
            <w:vAlign w:val="center"/>
          </w:tcPr>
          <w:p w14:paraId="327E65F1">
            <w:pPr>
              <w:rPr>
                <w:rFonts w:eastAsiaTheme="minorEastAsia"/>
                <w:kern w:val="0"/>
                <w:szCs w:val="21"/>
              </w:rPr>
            </w:pPr>
            <w:r>
              <w:rPr>
                <w:rFonts w:hint="eastAsia" w:eastAsiaTheme="minorEastAsia"/>
                <w:kern w:val="0"/>
                <w:szCs w:val="21"/>
              </w:rPr>
              <w:t>1</w:t>
            </w:r>
          </w:p>
        </w:tc>
        <w:tc>
          <w:tcPr>
            <w:tcW w:w="2060" w:type="dxa"/>
            <w:vAlign w:val="center"/>
          </w:tcPr>
          <w:p w14:paraId="36198FF7">
            <w:pPr>
              <w:rPr>
                <w:rFonts w:eastAsiaTheme="minorEastAsia"/>
                <w:kern w:val="0"/>
                <w:szCs w:val="21"/>
              </w:rPr>
            </w:pPr>
            <w:r>
              <w:rPr>
                <w:rFonts w:eastAsiaTheme="minorEastAsia"/>
                <w:kern w:val="0"/>
                <w:szCs w:val="21"/>
              </w:rPr>
              <w:t>Investigation of the Crosstalk between GRP78/PERK/ATF-4 Signaling Pathway and Renal Apoptosis Induced by Nephropathogenic Infectious Bronchitis Virus Infection</w:t>
            </w:r>
          </w:p>
        </w:tc>
        <w:tc>
          <w:tcPr>
            <w:tcW w:w="1293" w:type="dxa"/>
            <w:vAlign w:val="center"/>
          </w:tcPr>
          <w:p w14:paraId="0DB4C02A">
            <w:pPr>
              <w:rPr>
                <w:rFonts w:eastAsiaTheme="minorEastAsia"/>
                <w:kern w:val="0"/>
                <w:szCs w:val="21"/>
              </w:rPr>
            </w:pPr>
            <w:r>
              <w:rPr>
                <w:rFonts w:eastAsiaTheme="minorEastAsia"/>
                <w:kern w:val="0"/>
                <w:szCs w:val="21"/>
              </w:rPr>
              <w:t>Journal</w:t>
            </w:r>
            <w:r>
              <w:rPr>
                <w:rFonts w:hint="eastAsia" w:eastAsiaTheme="minorEastAsia"/>
                <w:kern w:val="0"/>
                <w:szCs w:val="21"/>
              </w:rPr>
              <w:t xml:space="preserve"> </w:t>
            </w:r>
            <w:r>
              <w:rPr>
                <w:rFonts w:eastAsiaTheme="minorEastAsia"/>
                <w:kern w:val="0"/>
                <w:szCs w:val="21"/>
              </w:rPr>
              <w:t>of Virology</w:t>
            </w:r>
          </w:p>
        </w:tc>
        <w:tc>
          <w:tcPr>
            <w:tcW w:w="1640" w:type="dxa"/>
            <w:vAlign w:val="center"/>
          </w:tcPr>
          <w:p w14:paraId="6A3CBF08">
            <w:pPr>
              <w:rPr>
                <w:rFonts w:eastAsiaTheme="minorEastAsia"/>
                <w:kern w:val="0"/>
                <w:szCs w:val="21"/>
              </w:rPr>
            </w:pPr>
            <w:r>
              <w:rPr>
                <w:rFonts w:eastAsiaTheme="minorEastAsia"/>
                <w:kern w:val="0"/>
                <w:szCs w:val="21"/>
              </w:rPr>
              <w:t>96(2):e0142921</w:t>
            </w:r>
          </w:p>
        </w:tc>
        <w:tc>
          <w:tcPr>
            <w:tcW w:w="1161" w:type="dxa"/>
            <w:vAlign w:val="center"/>
          </w:tcPr>
          <w:p w14:paraId="37798374">
            <w:pPr>
              <w:rPr>
                <w:rFonts w:eastAsiaTheme="minorEastAsia"/>
                <w:kern w:val="0"/>
                <w:szCs w:val="21"/>
              </w:rPr>
            </w:pPr>
            <w:r>
              <w:rPr>
                <w:rFonts w:eastAsiaTheme="minorEastAsia"/>
                <w:kern w:val="0"/>
                <w:szCs w:val="21"/>
              </w:rPr>
              <w:t>202</w:t>
            </w:r>
            <w:r>
              <w:rPr>
                <w:rFonts w:hint="eastAsia" w:eastAsiaTheme="minorEastAsia"/>
                <w:kern w:val="0"/>
                <w:szCs w:val="21"/>
              </w:rPr>
              <w:t>1.10.20</w:t>
            </w:r>
          </w:p>
        </w:tc>
        <w:tc>
          <w:tcPr>
            <w:tcW w:w="1044" w:type="dxa"/>
            <w:vAlign w:val="center"/>
          </w:tcPr>
          <w:p w14:paraId="4BB4C20C">
            <w:pPr>
              <w:rPr>
                <w:rFonts w:eastAsiaTheme="minorEastAsia"/>
                <w:kern w:val="0"/>
                <w:szCs w:val="21"/>
              </w:rPr>
            </w:pPr>
            <w:r>
              <w:rPr>
                <w:rFonts w:hint="eastAsia" w:eastAsiaTheme="minorEastAsia"/>
                <w:kern w:val="0"/>
                <w:szCs w:val="21"/>
              </w:rPr>
              <w:t>陈卫</w:t>
            </w:r>
            <w:r>
              <w:rPr>
                <w:rFonts w:eastAsiaTheme="minorEastAsia"/>
                <w:kern w:val="0"/>
                <w:szCs w:val="21"/>
                <w:vertAlign w:val="superscript"/>
              </w:rPr>
              <w:t>#</w:t>
            </w:r>
            <w:r>
              <w:rPr>
                <w:rFonts w:hint="eastAsia" w:eastAsiaTheme="minorEastAsia"/>
                <w:kern w:val="0"/>
                <w:szCs w:val="21"/>
              </w:rPr>
              <w:t>，黄橙</w:t>
            </w:r>
            <w:r>
              <w:rPr>
                <w:rFonts w:eastAsiaTheme="minorEastAsia"/>
                <w:kern w:val="0"/>
                <w:szCs w:val="21"/>
                <w:vertAlign w:val="superscript"/>
              </w:rPr>
              <w:t>#</w:t>
            </w:r>
            <w:r>
              <w:rPr>
                <w:rFonts w:hint="eastAsia" w:eastAsiaTheme="minorEastAsia"/>
                <w:kern w:val="0"/>
                <w:szCs w:val="21"/>
              </w:rPr>
              <w:t>，施燕，李宁，汪恩琦，胡睿铭，李谷月，杨帆，庄煜，刘平，胡国良，高晓娜*，郭小权*</w:t>
            </w:r>
          </w:p>
        </w:tc>
        <w:tc>
          <w:tcPr>
            <w:tcW w:w="743" w:type="dxa"/>
            <w:vAlign w:val="center"/>
          </w:tcPr>
          <w:p w14:paraId="70851615">
            <w:pPr>
              <w:rPr>
                <w:rFonts w:eastAsiaTheme="minorEastAsia"/>
                <w:kern w:val="0"/>
                <w:szCs w:val="21"/>
              </w:rPr>
            </w:pPr>
            <w:r>
              <w:rPr>
                <w:rFonts w:hint="eastAsia" w:eastAsiaTheme="minorEastAsia"/>
                <w:kern w:val="0"/>
                <w:szCs w:val="21"/>
              </w:rPr>
              <w:t>江西农业大学</w:t>
            </w:r>
          </w:p>
        </w:tc>
      </w:tr>
      <w:tr w14:paraId="5E1B9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2" w:type="dxa"/>
            <w:vAlign w:val="center"/>
          </w:tcPr>
          <w:p w14:paraId="550BA4C0">
            <w:pPr>
              <w:rPr>
                <w:rFonts w:eastAsiaTheme="minorEastAsia"/>
                <w:kern w:val="0"/>
                <w:szCs w:val="21"/>
              </w:rPr>
            </w:pPr>
            <w:r>
              <w:rPr>
                <w:rFonts w:hint="eastAsia" w:eastAsiaTheme="minorEastAsia"/>
                <w:kern w:val="0"/>
                <w:szCs w:val="21"/>
              </w:rPr>
              <w:t>2</w:t>
            </w:r>
          </w:p>
        </w:tc>
        <w:tc>
          <w:tcPr>
            <w:tcW w:w="2060" w:type="dxa"/>
            <w:vAlign w:val="center"/>
          </w:tcPr>
          <w:p w14:paraId="3ABC4918">
            <w:pPr>
              <w:rPr>
                <w:rFonts w:eastAsiaTheme="minorEastAsia"/>
                <w:kern w:val="0"/>
                <w:szCs w:val="21"/>
              </w:rPr>
            </w:pPr>
            <w:r>
              <w:rPr>
                <w:rFonts w:eastAsiaTheme="minorEastAsia"/>
                <w:kern w:val="0"/>
                <w:szCs w:val="21"/>
              </w:rPr>
              <w:t>16S rRNA gene sequencing reveals an altered composition of the gut microbiota in chickens infected with a nephropathogenic infectious bronchitis virus</w:t>
            </w:r>
          </w:p>
        </w:tc>
        <w:tc>
          <w:tcPr>
            <w:tcW w:w="1293" w:type="dxa"/>
            <w:vAlign w:val="center"/>
          </w:tcPr>
          <w:p w14:paraId="644CF469">
            <w:pPr>
              <w:rPr>
                <w:rFonts w:eastAsiaTheme="minorEastAsia"/>
                <w:kern w:val="0"/>
                <w:szCs w:val="21"/>
              </w:rPr>
            </w:pPr>
            <w:r>
              <w:rPr>
                <w:rFonts w:eastAsiaTheme="minorEastAsia"/>
                <w:kern w:val="0"/>
                <w:szCs w:val="21"/>
              </w:rPr>
              <w:t>Sci</w:t>
            </w:r>
            <w:r>
              <w:rPr>
                <w:rFonts w:hint="eastAsia" w:eastAsiaTheme="minorEastAsia"/>
                <w:kern w:val="0"/>
                <w:szCs w:val="21"/>
              </w:rPr>
              <w:t>entific</w:t>
            </w:r>
            <w:r>
              <w:rPr>
                <w:rFonts w:eastAsiaTheme="minorEastAsia"/>
                <w:kern w:val="0"/>
                <w:szCs w:val="21"/>
              </w:rPr>
              <w:t xml:space="preserve"> Rep</w:t>
            </w:r>
            <w:r>
              <w:rPr>
                <w:rFonts w:hint="eastAsia" w:eastAsiaTheme="minorEastAsia"/>
                <w:kern w:val="0"/>
                <w:szCs w:val="21"/>
              </w:rPr>
              <w:t>orts</w:t>
            </w:r>
          </w:p>
        </w:tc>
        <w:tc>
          <w:tcPr>
            <w:tcW w:w="1640" w:type="dxa"/>
            <w:vAlign w:val="center"/>
          </w:tcPr>
          <w:p w14:paraId="7749400D">
            <w:pPr>
              <w:rPr>
                <w:rFonts w:eastAsiaTheme="minorEastAsia"/>
                <w:kern w:val="0"/>
                <w:szCs w:val="21"/>
              </w:rPr>
            </w:pPr>
            <w:r>
              <w:rPr>
                <w:rFonts w:eastAsiaTheme="minorEastAsia"/>
                <w:kern w:val="0"/>
                <w:szCs w:val="21"/>
              </w:rPr>
              <w:t>10(1):3556</w:t>
            </w:r>
          </w:p>
        </w:tc>
        <w:tc>
          <w:tcPr>
            <w:tcW w:w="1161" w:type="dxa"/>
            <w:vAlign w:val="center"/>
          </w:tcPr>
          <w:p w14:paraId="502B1FBE">
            <w:pPr>
              <w:rPr>
                <w:rFonts w:eastAsiaTheme="minorEastAsia"/>
                <w:kern w:val="0"/>
                <w:szCs w:val="21"/>
              </w:rPr>
            </w:pPr>
            <w:r>
              <w:rPr>
                <w:rFonts w:eastAsiaTheme="minorEastAsia"/>
                <w:kern w:val="0"/>
                <w:szCs w:val="21"/>
              </w:rPr>
              <w:t>2020</w:t>
            </w:r>
            <w:r>
              <w:rPr>
                <w:rFonts w:hint="eastAsia" w:eastAsiaTheme="minorEastAsia"/>
                <w:kern w:val="0"/>
                <w:szCs w:val="21"/>
              </w:rPr>
              <w:t>.2.</w:t>
            </w:r>
            <w:r>
              <w:rPr>
                <w:rFonts w:eastAsiaTheme="minorEastAsia"/>
                <w:kern w:val="0"/>
                <w:szCs w:val="21"/>
              </w:rPr>
              <w:t>26</w:t>
            </w:r>
          </w:p>
        </w:tc>
        <w:tc>
          <w:tcPr>
            <w:tcW w:w="1044" w:type="dxa"/>
            <w:vAlign w:val="center"/>
          </w:tcPr>
          <w:p w14:paraId="216DA0F4">
            <w:pPr>
              <w:rPr>
                <w:rFonts w:eastAsiaTheme="minorEastAsia"/>
                <w:kern w:val="0"/>
                <w:szCs w:val="21"/>
              </w:rPr>
            </w:pPr>
            <w:r>
              <w:rPr>
                <w:rFonts w:hint="eastAsia" w:eastAsiaTheme="minorEastAsia"/>
                <w:kern w:val="0"/>
                <w:szCs w:val="21"/>
              </w:rPr>
              <w:t>徐普之，施燕，刘平，杨倚天，周长明，李谷月，罗军荣，张彩英，曹华斌，胡国良，郭小权*</w:t>
            </w:r>
          </w:p>
        </w:tc>
        <w:tc>
          <w:tcPr>
            <w:tcW w:w="743" w:type="dxa"/>
            <w:vAlign w:val="center"/>
          </w:tcPr>
          <w:p w14:paraId="05C47DD2">
            <w:pPr>
              <w:rPr>
                <w:rFonts w:eastAsiaTheme="minorEastAsia"/>
                <w:kern w:val="0"/>
                <w:szCs w:val="21"/>
              </w:rPr>
            </w:pPr>
            <w:r>
              <w:rPr>
                <w:rFonts w:hint="eastAsia" w:eastAsiaTheme="minorEastAsia"/>
                <w:kern w:val="0"/>
                <w:szCs w:val="21"/>
              </w:rPr>
              <w:t>江西农业大学</w:t>
            </w:r>
          </w:p>
        </w:tc>
      </w:tr>
      <w:tr w14:paraId="37BDF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2" w:type="dxa"/>
            <w:vAlign w:val="center"/>
          </w:tcPr>
          <w:p w14:paraId="63AB2EED">
            <w:pPr>
              <w:rPr>
                <w:rFonts w:eastAsiaTheme="minorEastAsia"/>
                <w:kern w:val="0"/>
                <w:szCs w:val="21"/>
              </w:rPr>
            </w:pPr>
            <w:r>
              <w:rPr>
                <w:rFonts w:hint="eastAsia" w:eastAsiaTheme="minorEastAsia"/>
                <w:kern w:val="0"/>
                <w:szCs w:val="21"/>
              </w:rPr>
              <w:t>3</w:t>
            </w:r>
          </w:p>
        </w:tc>
        <w:tc>
          <w:tcPr>
            <w:tcW w:w="2060" w:type="dxa"/>
            <w:vAlign w:val="center"/>
          </w:tcPr>
          <w:p w14:paraId="393415BC">
            <w:pPr>
              <w:rPr>
                <w:rFonts w:eastAsiaTheme="minorEastAsia"/>
                <w:kern w:val="0"/>
                <w:szCs w:val="21"/>
              </w:rPr>
            </w:pPr>
            <w:r>
              <w:rPr>
                <w:rFonts w:eastAsiaTheme="minorEastAsia"/>
                <w:kern w:val="0"/>
                <w:szCs w:val="21"/>
              </w:rPr>
              <w:t>The relationship between liver-kidney impairment and viral load after nephropathogenic infectious bronchitis virus infection in embryonic chickens</w:t>
            </w:r>
          </w:p>
        </w:tc>
        <w:tc>
          <w:tcPr>
            <w:tcW w:w="1293" w:type="dxa"/>
            <w:vAlign w:val="center"/>
          </w:tcPr>
          <w:p w14:paraId="1E32ACC2">
            <w:pPr>
              <w:rPr>
                <w:rFonts w:eastAsiaTheme="minorEastAsia"/>
                <w:kern w:val="0"/>
                <w:szCs w:val="21"/>
              </w:rPr>
            </w:pPr>
            <w:r>
              <w:rPr>
                <w:sz w:val="24"/>
              </w:rPr>
              <w:t>Poultry Sci</w:t>
            </w:r>
            <w:r>
              <w:rPr>
                <w:rFonts w:hint="eastAsia"/>
                <w:sz w:val="24"/>
              </w:rPr>
              <w:t>ence</w:t>
            </w:r>
          </w:p>
        </w:tc>
        <w:tc>
          <w:tcPr>
            <w:tcW w:w="1640" w:type="dxa"/>
            <w:vAlign w:val="center"/>
          </w:tcPr>
          <w:p w14:paraId="191A51B1">
            <w:pPr>
              <w:rPr>
                <w:rFonts w:eastAsiaTheme="minorEastAsia"/>
                <w:kern w:val="0"/>
                <w:szCs w:val="21"/>
              </w:rPr>
            </w:pPr>
            <w:r>
              <w:rPr>
                <w:rFonts w:eastAsiaTheme="minorEastAsia"/>
                <w:kern w:val="0"/>
                <w:szCs w:val="21"/>
              </w:rPr>
              <w:t>96(6):1589-1597</w:t>
            </w:r>
          </w:p>
        </w:tc>
        <w:tc>
          <w:tcPr>
            <w:tcW w:w="1161" w:type="dxa"/>
            <w:vAlign w:val="center"/>
          </w:tcPr>
          <w:p w14:paraId="21BCA428">
            <w:pPr>
              <w:rPr>
                <w:rFonts w:eastAsiaTheme="minorEastAsia"/>
                <w:kern w:val="0"/>
                <w:szCs w:val="21"/>
              </w:rPr>
            </w:pPr>
            <w:r>
              <w:rPr>
                <w:rFonts w:eastAsiaTheme="minorEastAsia"/>
                <w:kern w:val="0"/>
                <w:szCs w:val="21"/>
              </w:rPr>
              <w:t>2017</w:t>
            </w:r>
            <w:r>
              <w:rPr>
                <w:rFonts w:hint="eastAsia" w:eastAsiaTheme="minorEastAsia"/>
                <w:kern w:val="0"/>
                <w:szCs w:val="21"/>
              </w:rPr>
              <w:t>.6.1</w:t>
            </w:r>
          </w:p>
        </w:tc>
        <w:tc>
          <w:tcPr>
            <w:tcW w:w="1044" w:type="dxa"/>
            <w:vAlign w:val="center"/>
          </w:tcPr>
          <w:p w14:paraId="5CF2567D">
            <w:pPr>
              <w:rPr>
                <w:rFonts w:eastAsiaTheme="minorEastAsia"/>
                <w:kern w:val="0"/>
                <w:szCs w:val="21"/>
              </w:rPr>
            </w:pPr>
            <w:r>
              <w:rPr>
                <w:rFonts w:hint="eastAsia" w:eastAsiaTheme="minorEastAsia"/>
                <w:kern w:val="0"/>
                <w:szCs w:val="21"/>
              </w:rPr>
              <w:t>黄奇奇</w:t>
            </w:r>
            <w:r>
              <w:rPr>
                <w:rFonts w:hint="eastAsia" w:eastAsiaTheme="minorEastAsia"/>
                <w:kern w:val="0"/>
                <w:szCs w:val="21"/>
                <w:vertAlign w:val="superscript"/>
              </w:rPr>
              <w:t>#</w:t>
            </w:r>
            <w:r>
              <w:rPr>
                <w:rFonts w:hint="eastAsia" w:eastAsiaTheme="minorEastAsia"/>
                <w:kern w:val="0"/>
                <w:szCs w:val="21"/>
              </w:rPr>
              <w:t>，高晓娜</w:t>
            </w:r>
            <w:r>
              <w:rPr>
                <w:rFonts w:hint="eastAsia" w:eastAsiaTheme="minorEastAsia"/>
                <w:kern w:val="0"/>
                <w:szCs w:val="21"/>
                <w:vertAlign w:val="superscript"/>
              </w:rPr>
              <w:t>#</w:t>
            </w:r>
            <w:r>
              <w:rPr>
                <w:rFonts w:hint="eastAsia" w:eastAsiaTheme="minorEastAsia"/>
                <w:kern w:val="0"/>
                <w:szCs w:val="21"/>
              </w:rPr>
              <w:t>，刘平</w:t>
            </w:r>
            <w:r>
              <w:rPr>
                <w:rFonts w:hint="eastAsia" w:eastAsiaTheme="minorEastAsia"/>
                <w:kern w:val="0"/>
                <w:szCs w:val="21"/>
                <w:vertAlign w:val="superscript"/>
              </w:rPr>
              <w:t>#</w:t>
            </w:r>
            <w:r>
              <w:rPr>
                <w:rFonts w:hint="eastAsia" w:eastAsiaTheme="minorEastAsia"/>
                <w:kern w:val="0"/>
                <w:szCs w:val="21"/>
              </w:rPr>
              <w:t>，林华源，刘伟连，刘国辉，张进，邓广付，张彩英，曹华斌，郭小权</w:t>
            </w:r>
            <w:r>
              <w:rPr>
                <w:rFonts w:eastAsiaTheme="minorEastAsia"/>
                <w:kern w:val="0"/>
                <w:szCs w:val="21"/>
              </w:rPr>
              <w:t>*</w:t>
            </w:r>
            <w:r>
              <w:rPr>
                <w:rFonts w:hint="eastAsia" w:eastAsiaTheme="minorEastAsia"/>
                <w:kern w:val="0"/>
                <w:szCs w:val="21"/>
              </w:rPr>
              <w:t>，胡国良*</w:t>
            </w:r>
          </w:p>
        </w:tc>
        <w:tc>
          <w:tcPr>
            <w:tcW w:w="743" w:type="dxa"/>
            <w:vAlign w:val="center"/>
          </w:tcPr>
          <w:p w14:paraId="57ECEFF2">
            <w:pPr>
              <w:rPr>
                <w:rFonts w:eastAsiaTheme="minorEastAsia"/>
                <w:kern w:val="0"/>
                <w:szCs w:val="21"/>
              </w:rPr>
            </w:pPr>
            <w:r>
              <w:rPr>
                <w:rFonts w:hint="eastAsia" w:eastAsiaTheme="minorEastAsia"/>
                <w:kern w:val="0"/>
                <w:szCs w:val="21"/>
              </w:rPr>
              <w:t>江西农业大学</w:t>
            </w:r>
          </w:p>
        </w:tc>
      </w:tr>
      <w:tr w14:paraId="23C66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2" w:type="dxa"/>
            <w:vAlign w:val="center"/>
          </w:tcPr>
          <w:p w14:paraId="0ED51640">
            <w:pPr>
              <w:rPr>
                <w:rFonts w:eastAsiaTheme="minorEastAsia"/>
                <w:kern w:val="0"/>
                <w:szCs w:val="21"/>
              </w:rPr>
            </w:pPr>
            <w:r>
              <w:rPr>
                <w:rFonts w:hint="eastAsia" w:eastAsiaTheme="minorEastAsia"/>
                <w:kern w:val="0"/>
                <w:szCs w:val="21"/>
              </w:rPr>
              <w:t>4</w:t>
            </w:r>
          </w:p>
        </w:tc>
        <w:tc>
          <w:tcPr>
            <w:tcW w:w="2060" w:type="dxa"/>
            <w:vAlign w:val="center"/>
          </w:tcPr>
          <w:p w14:paraId="1FC35983">
            <w:pPr>
              <w:rPr>
                <w:rFonts w:eastAsiaTheme="minorEastAsia"/>
                <w:kern w:val="0"/>
                <w:szCs w:val="21"/>
              </w:rPr>
            </w:pPr>
            <w:r>
              <w:rPr>
                <w:rFonts w:eastAsiaTheme="minorEastAsia"/>
                <w:kern w:val="0"/>
                <w:szCs w:val="21"/>
              </w:rPr>
              <w:t>Prokaryotic expression of the chicken xanthine oxidase (XOD) subunit and its localization in liver and kidney</w:t>
            </w:r>
          </w:p>
        </w:tc>
        <w:tc>
          <w:tcPr>
            <w:tcW w:w="1293" w:type="dxa"/>
            <w:vAlign w:val="center"/>
          </w:tcPr>
          <w:p w14:paraId="244DBC46">
            <w:pPr>
              <w:rPr>
                <w:rFonts w:eastAsiaTheme="minorEastAsia"/>
                <w:kern w:val="0"/>
                <w:szCs w:val="21"/>
              </w:rPr>
            </w:pPr>
            <w:r>
              <w:rPr>
                <w:rFonts w:eastAsiaTheme="minorEastAsia"/>
                <w:kern w:val="0"/>
                <w:szCs w:val="21"/>
              </w:rPr>
              <w:t>International Journal of Biological Macromolecules</w:t>
            </w:r>
          </w:p>
        </w:tc>
        <w:tc>
          <w:tcPr>
            <w:tcW w:w="1640" w:type="dxa"/>
            <w:vAlign w:val="center"/>
          </w:tcPr>
          <w:p w14:paraId="553CA06C">
            <w:pPr>
              <w:rPr>
                <w:rFonts w:eastAsiaTheme="minorEastAsia"/>
                <w:kern w:val="0"/>
                <w:szCs w:val="21"/>
              </w:rPr>
            </w:pPr>
            <w:r>
              <w:rPr>
                <w:rFonts w:eastAsiaTheme="minorEastAsia"/>
                <w:kern w:val="0"/>
                <w:szCs w:val="21"/>
              </w:rPr>
              <w:t>87:341-7</w:t>
            </w:r>
          </w:p>
        </w:tc>
        <w:tc>
          <w:tcPr>
            <w:tcW w:w="1161" w:type="dxa"/>
            <w:vAlign w:val="center"/>
          </w:tcPr>
          <w:p w14:paraId="11E324A8">
            <w:pPr>
              <w:rPr>
                <w:rFonts w:eastAsiaTheme="minorEastAsia"/>
                <w:kern w:val="0"/>
                <w:szCs w:val="21"/>
              </w:rPr>
            </w:pPr>
            <w:r>
              <w:rPr>
                <w:rFonts w:eastAsiaTheme="minorEastAsia"/>
                <w:kern w:val="0"/>
                <w:szCs w:val="21"/>
              </w:rPr>
              <w:t>2016</w:t>
            </w:r>
            <w:r>
              <w:rPr>
                <w:rFonts w:hint="eastAsia" w:eastAsiaTheme="minorEastAsia"/>
                <w:kern w:val="0"/>
                <w:szCs w:val="21"/>
              </w:rPr>
              <w:t>.6.1</w:t>
            </w:r>
          </w:p>
        </w:tc>
        <w:tc>
          <w:tcPr>
            <w:tcW w:w="1044" w:type="dxa"/>
            <w:vAlign w:val="center"/>
          </w:tcPr>
          <w:p w14:paraId="5201F734">
            <w:pPr>
              <w:rPr>
                <w:rFonts w:eastAsiaTheme="minorEastAsia"/>
                <w:kern w:val="0"/>
                <w:szCs w:val="21"/>
              </w:rPr>
            </w:pPr>
            <w:r>
              <w:rPr>
                <w:rFonts w:hint="eastAsia" w:eastAsiaTheme="minorEastAsia"/>
                <w:kern w:val="0"/>
                <w:szCs w:val="21"/>
              </w:rPr>
              <w:t>林华源</w:t>
            </w:r>
            <w:r>
              <w:rPr>
                <w:rFonts w:hint="eastAsia" w:eastAsiaTheme="minorEastAsia"/>
                <w:kern w:val="0"/>
                <w:szCs w:val="21"/>
                <w:vertAlign w:val="superscript"/>
              </w:rPr>
              <w:t>#</w:t>
            </w:r>
            <w:r>
              <w:rPr>
                <w:rFonts w:hint="eastAsia" w:eastAsiaTheme="minorEastAsia"/>
                <w:kern w:val="0"/>
                <w:szCs w:val="21"/>
              </w:rPr>
              <w:t>，陈燕君</w:t>
            </w:r>
            <w:r>
              <w:rPr>
                <w:rFonts w:hint="eastAsia" w:eastAsiaTheme="minorEastAsia"/>
                <w:kern w:val="0"/>
                <w:szCs w:val="21"/>
                <w:vertAlign w:val="superscript"/>
              </w:rPr>
              <w:t>#</w:t>
            </w:r>
            <w:r>
              <w:rPr>
                <w:rFonts w:hint="eastAsia" w:eastAsiaTheme="minorEastAsia"/>
                <w:kern w:val="0"/>
                <w:szCs w:val="21"/>
              </w:rPr>
              <w:t>，黄奇奇</w:t>
            </w:r>
            <w:r>
              <w:rPr>
                <w:rFonts w:hint="eastAsia" w:eastAsiaTheme="minorEastAsia"/>
                <w:kern w:val="0"/>
                <w:szCs w:val="21"/>
                <w:vertAlign w:val="superscript"/>
              </w:rPr>
              <w:t>#</w:t>
            </w:r>
            <w:r>
              <w:rPr>
                <w:rFonts w:hint="eastAsia" w:eastAsiaTheme="minorEastAsia"/>
                <w:kern w:val="0"/>
                <w:szCs w:val="21"/>
              </w:rPr>
              <w:t>，郭小权*，刘平*，刘伟连，张彩英，曹华斌，胡国良</w:t>
            </w:r>
          </w:p>
        </w:tc>
        <w:tc>
          <w:tcPr>
            <w:tcW w:w="743" w:type="dxa"/>
            <w:vAlign w:val="center"/>
          </w:tcPr>
          <w:p w14:paraId="30756C3E">
            <w:pPr>
              <w:rPr>
                <w:rFonts w:eastAsiaTheme="minorEastAsia"/>
                <w:kern w:val="0"/>
                <w:szCs w:val="21"/>
              </w:rPr>
            </w:pPr>
            <w:r>
              <w:rPr>
                <w:rFonts w:hint="eastAsia" w:eastAsiaTheme="minorEastAsia"/>
                <w:kern w:val="0"/>
                <w:szCs w:val="21"/>
              </w:rPr>
              <w:t>江西农业大学</w:t>
            </w:r>
          </w:p>
        </w:tc>
      </w:tr>
      <w:tr w14:paraId="3D2D1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2" w:type="dxa"/>
            <w:vAlign w:val="center"/>
          </w:tcPr>
          <w:p w14:paraId="0D1DD971">
            <w:pPr>
              <w:rPr>
                <w:rFonts w:eastAsiaTheme="minorEastAsia"/>
                <w:kern w:val="0"/>
                <w:szCs w:val="21"/>
              </w:rPr>
            </w:pPr>
            <w:r>
              <w:rPr>
                <w:rFonts w:hint="eastAsia" w:eastAsiaTheme="minorEastAsia"/>
                <w:kern w:val="0"/>
                <w:szCs w:val="21"/>
              </w:rPr>
              <w:t>5</w:t>
            </w:r>
          </w:p>
        </w:tc>
        <w:tc>
          <w:tcPr>
            <w:tcW w:w="2060" w:type="dxa"/>
            <w:vAlign w:val="center"/>
          </w:tcPr>
          <w:p w14:paraId="4D2B841D">
            <w:pPr>
              <w:rPr>
                <w:rFonts w:eastAsiaTheme="minorEastAsia"/>
                <w:kern w:val="0"/>
                <w:szCs w:val="21"/>
              </w:rPr>
            </w:pPr>
            <w:r>
              <w:rPr>
                <w:rFonts w:hint="eastAsia" w:eastAsiaTheme="minorEastAsia"/>
                <w:kern w:val="0"/>
                <w:szCs w:val="21"/>
              </w:rPr>
              <w:t>肾型IBV感染对青年蛋鸡血清和 肾脏线粒体 自由基代谢的影响</w:t>
            </w:r>
          </w:p>
        </w:tc>
        <w:tc>
          <w:tcPr>
            <w:tcW w:w="1293" w:type="dxa"/>
            <w:vAlign w:val="center"/>
          </w:tcPr>
          <w:p w14:paraId="197831FE">
            <w:pPr>
              <w:rPr>
                <w:rFonts w:eastAsiaTheme="minorEastAsia"/>
                <w:kern w:val="0"/>
                <w:szCs w:val="21"/>
              </w:rPr>
            </w:pPr>
            <w:r>
              <w:rPr>
                <w:rFonts w:hint="eastAsia" w:eastAsiaTheme="minorEastAsia"/>
                <w:kern w:val="0"/>
                <w:szCs w:val="21"/>
              </w:rPr>
              <w:t>中国兽医学报</w:t>
            </w:r>
          </w:p>
          <w:p w14:paraId="33228E81">
            <w:pPr>
              <w:rPr>
                <w:rFonts w:eastAsiaTheme="minorEastAsia"/>
                <w:kern w:val="0"/>
                <w:szCs w:val="21"/>
              </w:rPr>
            </w:pPr>
          </w:p>
        </w:tc>
        <w:tc>
          <w:tcPr>
            <w:tcW w:w="1640" w:type="dxa"/>
            <w:vAlign w:val="center"/>
          </w:tcPr>
          <w:p w14:paraId="4FC1AB4D">
            <w:pPr>
              <w:rPr>
                <w:rFonts w:eastAsiaTheme="minorEastAsia"/>
                <w:kern w:val="0"/>
                <w:szCs w:val="21"/>
              </w:rPr>
            </w:pPr>
            <w:r>
              <w:rPr>
                <w:rFonts w:eastAsiaTheme="minorEastAsia"/>
                <w:kern w:val="0"/>
                <w:szCs w:val="21"/>
              </w:rPr>
              <w:t>38(</w:t>
            </w:r>
            <w:r>
              <w:rPr>
                <w:rFonts w:hint="eastAsia" w:eastAsiaTheme="minorEastAsia"/>
                <w:kern w:val="0"/>
                <w:szCs w:val="21"/>
              </w:rPr>
              <w:t>7</w:t>
            </w:r>
            <w:r>
              <w:rPr>
                <w:rFonts w:eastAsiaTheme="minorEastAsia"/>
                <w:kern w:val="0"/>
                <w:szCs w:val="21"/>
              </w:rPr>
              <w:t>):</w:t>
            </w:r>
            <w:r>
              <w:rPr>
                <w:rFonts w:hint="eastAsia" w:eastAsiaTheme="minorEastAsia"/>
                <w:kern w:val="0"/>
                <w:szCs w:val="21"/>
              </w:rPr>
              <w:t>1133-6</w:t>
            </w:r>
          </w:p>
        </w:tc>
        <w:tc>
          <w:tcPr>
            <w:tcW w:w="1161" w:type="dxa"/>
            <w:vAlign w:val="center"/>
          </w:tcPr>
          <w:p w14:paraId="53D58AE7">
            <w:pPr>
              <w:rPr>
                <w:rFonts w:eastAsiaTheme="minorEastAsia"/>
                <w:kern w:val="0"/>
                <w:szCs w:val="21"/>
              </w:rPr>
            </w:pPr>
            <w:r>
              <w:rPr>
                <w:rFonts w:eastAsiaTheme="minorEastAsia"/>
                <w:kern w:val="0"/>
                <w:szCs w:val="21"/>
              </w:rPr>
              <w:t>201</w:t>
            </w:r>
            <w:r>
              <w:rPr>
                <w:rFonts w:hint="eastAsia" w:eastAsiaTheme="minorEastAsia"/>
                <w:kern w:val="0"/>
                <w:szCs w:val="21"/>
              </w:rPr>
              <w:t>4.7.1</w:t>
            </w:r>
          </w:p>
        </w:tc>
        <w:tc>
          <w:tcPr>
            <w:tcW w:w="1044" w:type="dxa"/>
            <w:vAlign w:val="center"/>
          </w:tcPr>
          <w:p w14:paraId="423EA944">
            <w:pPr>
              <w:rPr>
                <w:rFonts w:eastAsiaTheme="minorEastAsia"/>
                <w:kern w:val="0"/>
                <w:szCs w:val="21"/>
              </w:rPr>
            </w:pPr>
            <w:r>
              <w:rPr>
                <w:rFonts w:hint="eastAsia" w:eastAsiaTheme="minorEastAsia"/>
                <w:kern w:val="0"/>
                <w:szCs w:val="21"/>
              </w:rPr>
              <w:t>张彩英，郭小权*，匡俊，田山，国鑫，曹华斌，张晖，胡国良</w:t>
            </w:r>
          </w:p>
        </w:tc>
        <w:tc>
          <w:tcPr>
            <w:tcW w:w="743" w:type="dxa"/>
            <w:vAlign w:val="center"/>
          </w:tcPr>
          <w:p w14:paraId="78F07E60">
            <w:pPr>
              <w:rPr>
                <w:rFonts w:eastAsiaTheme="minorEastAsia"/>
                <w:kern w:val="0"/>
                <w:szCs w:val="21"/>
              </w:rPr>
            </w:pPr>
            <w:r>
              <w:rPr>
                <w:rFonts w:hint="eastAsia" w:eastAsiaTheme="minorEastAsia"/>
                <w:kern w:val="0"/>
                <w:szCs w:val="21"/>
              </w:rPr>
              <w:t>江西农业大学</w:t>
            </w:r>
          </w:p>
        </w:tc>
      </w:tr>
    </w:tbl>
    <w:p w14:paraId="0DB94F9B">
      <w:pPr>
        <w:adjustRightInd w:val="0"/>
        <w:snapToGrid w:val="0"/>
        <w:spacing w:line="360" w:lineRule="auto"/>
        <w:rPr>
          <w:rFonts w:hint="eastAsia" w:ascii="仿宋_GB2312" w:eastAsia="仿宋_GB2312"/>
          <w:b/>
          <w:bCs/>
          <w:kern w:val="0"/>
          <w:sz w:val="28"/>
          <w:szCs w:val="28"/>
        </w:rPr>
      </w:pPr>
    </w:p>
    <w:p w14:paraId="67F1604B">
      <w:pPr>
        <w:adjustRightInd w:val="0"/>
        <w:snapToGrid w:val="0"/>
        <w:spacing w:line="360" w:lineRule="auto"/>
        <w:ind w:firstLine="643" w:firstLineChars="200"/>
        <w:rPr>
          <w:rFonts w:eastAsiaTheme="minorEastAsia"/>
          <w:b/>
          <w:bCs/>
          <w:kern w:val="0"/>
          <w:sz w:val="32"/>
          <w:szCs w:val="32"/>
        </w:rPr>
      </w:pPr>
    </w:p>
    <w:p w14:paraId="7AAC92D2">
      <w:pPr>
        <w:adjustRightInd w:val="0"/>
        <w:snapToGrid w:val="0"/>
        <w:spacing w:line="360" w:lineRule="auto"/>
        <w:rPr>
          <w:rFonts w:ascii="仿宋_GB2312" w:hAnsi="宋体" w:eastAsia="仿宋_GB2312"/>
          <w:b/>
          <w:bCs/>
          <w:kern w:val="0"/>
          <w:sz w:val="28"/>
          <w:szCs w:val="28"/>
        </w:rPr>
      </w:pPr>
      <w:r>
        <w:rPr>
          <w:rFonts w:hint="eastAsia" w:ascii="仿宋_GB2312" w:eastAsia="仿宋_GB2312"/>
          <w:b/>
          <w:bCs/>
          <w:kern w:val="0"/>
          <w:sz w:val="28"/>
          <w:szCs w:val="28"/>
        </w:rPr>
        <w:t>主要完成人情况：</w:t>
      </w:r>
    </w:p>
    <w:p w14:paraId="5C23BB1E">
      <w:pPr>
        <w:adjustRightInd w:val="0"/>
        <w:snapToGrid w:val="0"/>
        <w:spacing w:line="360" w:lineRule="auto"/>
        <w:ind w:firstLine="562" w:firstLineChars="200"/>
        <w:rPr>
          <w:rFonts w:ascii="仿宋_GB2312" w:hAnsi="宋体" w:eastAsia="仿宋_GB2312"/>
          <w:kern w:val="0"/>
          <w:sz w:val="28"/>
          <w:szCs w:val="28"/>
        </w:rPr>
      </w:pPr>
      <w:r>
        <w:rPr>
          <w:rFonts w:hint="eastAsia" w:ascii="仿宋_GB2312" w:hAnsi="宋体" w:eastAsia="仿宋_GB2312"/>
          <w:b/>
          <w:bCs/>
          <w:kern w:val="0"/>
          <w:sz w:val="28"/>
          <w:szCs w:val="28"/>
        </w:rPr>
        <w:t>1.郭小权：</w:t>
      </w:r>
      <w:r>
        <w:rPr>
          <w:rFonts w:hint="eastAsia" w:ascii="仿宋_GB2312" w:hAnsi="宋体" w:eastAsia="仿宋_GB2312"/>
          <w:kern w:val="0"/>
          <w:sz w:val="28"/>
          <w:szCs w:val="28"/>
        </w:rPr>
        <w:t>男，江西农业大学，教授/博导，第1完成人。主要贡献：负责完成成果的全部研究内容，包括项目的总体设计与构思、支撑课题的申请立项、组织协调和监督所有研究内容的分工实施、指导实验过程、分析实验结果、发表论文等，为成果所有论文的通讯作者及其支撑项目的主持人。</w:t>
      </w:r>
    </w:p>
    <w:p w14:paraId="1F1A231D">
      <w:pPr>
        <w:adjustRightInd w:val="0"/>
        <w:snapToGrid w:val="0"/>
        <w:spacing w:line="360" w:lineRule="auto"/>
        <w:ind w:firstLine="562" w:firstLineChars="200"/>
        <w:rPr>
          <w:rFonts w:ascii="仿宋_GB2312" w:hAnsi="宋体" w:eastAsia="仿宋_GB2312"/>
          <w:kern w:val="0"/>
          <w:sz w:val="28"/>
          <w:szCs w:val="28"/>
        </w:rPr>
      </w:pPr>
      <w:r>
        <w:rPr>
          <w:rFonts w:hint="eastAsia" w:ascii="仿宋_GB2312" w:hAnsi="宋体" w:eastAsia="仿宋_GB2312"/>
          <w:b/>
          <w:bCs/>
          <w:kern w:val="0"/>
          <w:sz w:val="28"/>
          <w:szCs w:val="28"/>
        </w:rPr>
        <w:t>2.刘平：</w:t>
      </w:r>
      <w:r>
        <w:rPr>
          <w:rFonts w:hint="eastAsia" w:ascii="仿宋_GB2312" w:hAnsi="宋体" w:eastAsia="仿宋_GB2312"/>
          <w:kern w:val="0"/>
          <w:sz w:val="28"/>
          <w:szCs w:val="28"/>
        </w:rPr>
        <w:t>男，江西农业大学，副教授（校聘教授）/硕导，第2完成人。主要贡献：代表性论文3的共同第一作者，代表性论文4的共同通讯作者，代表性论文1和2的署名作者。</w:t>
      </w:r>
    </w:p>
    <w:p w14:paraId="1C175210">
      <w:pPr>
        <w:adjustRightInd w:val="0"/>
        <w:snapToGrid w:val="0"/>
        <w:spacing w:line="360" w:lineRule="auto"/>
        <w:ind w:firstLine="562" w:firstLineChars="200"/>
        <w:rPr>
          <w:rFonts w:ascii="仿宋_GB2312" w:hAnsi="宋体" w:eastAsia="仿宋_GB2312"/>
          <w:kern w:val="0"/>
          <w:sz w:val="28"/>
          <w:szCs w:val="28"/>
        </w:rPr>
      </w:pPr>
      <w:r>
        <w:rPr>
          <w:rFonts w:hint="eastAsia" w:ascii="仿宋_GB2312" w:hAnsi="宋体" w:eastAsia="仿宋_GB2312"/>
          <w:b/>
          <w:bCs/>
          <w:kern w:val="0"/>
          <w:sz w:val="28"/>
          <w:szCs w:val="28"/>
        </w:rPr>
        <w:t>3.高晓娜：</w:t>
      </w:r>
      <w:r>
        <w:rPr>
          <w:rFonts w:hint="eastAsia" w:ascii="仿宋_GB2312" w:hAnsi="宋体" w:eastAsia="仿宋_GB2312"/>
          <w:kern w:val="0"/>
          <w:sz w:val="28"/>
          <w:szCs w:val="28"/>
        </w:rPr>
        <w:t>女，江西农业大学，讲师/硕导，第3完成人。主要贡献：代表性论文1的共同通讯作者，代表性论文3的共同第一作者。</w:t>
      </w:r>
    </w:p>
    <w:p w14:paraId="63FEEB10">
      <w:pPr>
        <w:adjustRightInd w:val="0"/>
        <w:snapToGrid w:val="0"/>
        <w:spacing w:line="360" w:lineRule="auto"/>
        <w:ind w:firstLine="562" w:firstLineChars="200"/>
        <w:rPr>
          <w:rFonts w:ascii="仿宋_GB2312" w:hAnsi="宋体" w:eastAsia="仿宋_GB2312"/>
          <w:kern w:val="0"/>
          <w:sz w:val="28"/>
          <w:szCs w:val="28"/>
        </w:rPr>
      </w:pPr>
      <w:r>
        <w:rPr>
          <w:rFonts w:hint="eastAsia" w:ascii="仿宋_GB2312" w:hAnsi="宋体" w:eastAsia="仿宋_GB2312"/>
          <w:b/>
          <w:bCs/>
          <w:kern w:val="0"/>
          <w:sz w:val="28"/>
          <w:szCs w:val="28"/>
        </w:rPr>
        <w:t>4.胡国良：</w:t>
      </w:r>
      <w:r>
        <w:rPr>
          <w:rFonts w:hint="eastAsia" w:ascii="仿宋_GB2312" w:hAnsi="宋体" w:eastAsia="仿宋_GB2312"/>
          <w:kern w:val="0"/>
          <w:sz w:val="28"/>
          <w:szCs w:val="28"/>
        </w:rPr>
        <w:t>男，江西农业大学，教授/博导，第4完成人。主要贡献：代表性论文3共同通讯作者，代表性论文3的共同第一作者，代表性论文1、2、4和5的署名作者。</w:t>
      </w:r>
    </w:p>
    <w:p w14:paraId="277A1F1A">
      <w:pPr>
        <w:adjustRightInd w:val="0"/>
        <w:snapToGrid w:val="0"/>
        <w:spacing w:line="360" w:lineRule="auto"/>
        <w:ind w:firstLine="562" w:firstLineChars="200"/>
        <w:rPr>
          <w:rFonts w:ascii="仿宋_GB2312" w:hAnsi="宋体" w:eastAsia="仿宋_GB2312"/>
          <w:kern w:val="0"/>
          <w:sz w:val="28"/>
          <w:szCs w:val="28"/>
        </w:rPr>
      </w:pPr>
      <w:r>
        <w:rPr>
          <w:rFonts w:hint="eastAsia" w:ascii="仿宋_GB2312" w:hAnsi="宋体" w:eastAsia="仿宋_GB2312"/>
          <w:b/>
          <w:bCs/>
          <w:kern w:val="0"/>
          <w:sz w:val="28"/>
          <w:szCs w:val="28"/>
        </w:rPr>
        <w:t>5.施燕：</w:t>
      </w:r>
      <w:r>
        <w:rPr>
          <w:rFonts w:hint="eastAsia" w:ascii="仿宋_GB2312" w:hAnsi="宋体" w:eastAsia="仿宋_GB2312"/>
          <w:kern w:val="0"/>
          <w:sz w:val="28"/>
          <w:szCs w:val="28"/>
        </w:rPr>
        <w:t>女，江西农业大学，高级实验师，第5完成人。代表性论文1、2的署名作者。</w:t>
      </w:r>
    </w:p>
    <w:p w14:paraId="4D4AF21C">
      <w:pPr>
        <w:adjustRightInd w:val="0"/>
        <w:snapToGrid w:val="0"/>
        <w:spacing w:line="360" w:lineRule="auto"/>
        <w:ind w:firstLine="560" w:firstLineChars="200"/>
        <w:rPr>
          <w:rFonts w:hint="eastAsia" w:ascii="仿宋_GB2312" w:hAnsi="宋体" w:eastAsia="仿宋_GB2312"/>
          <w:kern w:val="0"/>
          <w:sz w:val="28"/>
          <w:szCs w:val="28"/>
        </w:rPr>
      </w:pPr>
    </w:p>
    <w:p w14:paraId="76F179F8">
      <w:pPr>
        <w:adjustRightInd w:val="0"/>
        <w:snapToGrid w:val="0"/>
        <w:spacing w:line="360" w:lineRule="auto"/>
        <w:rPr>
          <w:rFonts w:ascii="仿宋_GB2312" w:hAnsi="宋体" w:eastAsia="仿宋_GB2312"/>
          <w:b/>
          <w:bCs/>
          <w:kern w:val="0"/>
          <w:sz w:val="28"/>
          <w:szCs w:val="28"/>
        </w:rPr>
      </w:pPr>
      <w:r>
        <w:rPr>
          <w:rFonts w:hint="eastAsia" w:ascii="仿宋_GB2312" w:hAnsi="宋体" w:eastAsia="仿宋_GB2312"/>
          <w:b/>
          <w:bCs/>
          <w:kern w:val="0"/>
          <w:sz w:val="28"/>
          <w:szCs w:val="28"/>
        </w:rPr>
        <w:t>完成单位情况:</w:t>
      </w:r>
    </w:p>
    <w:p w14:paraId="475DB160">
      <w:pPr>
        <w:adjustRightInd w:val="0"/>
        <w:snapToGrid w:val="0"/>
        <w:spacing w:line="360" w:lineRule="auto"/>
        <w:ind w:firstLine="560" w:firstLineChars="200"/>
        <w:rPr>
          <w:rFonts w:ascii="仿宋_GB2312" w:hAnsi="宋体" w:eastAsia="仿宋_GB2312"/>
          <w:kern w:val="0"/>
          <w:sz w:val="28"/>
          <w:szCs w:val="28"/>
        </w:rPr>
      </w:pPr>
      <w:r>
        <w:rPr>
          <w:rFonts w:hint="eastAsia" w:ascii="仿宋_GB2312" w:hAnsi="宋体" w:eastAsia="仿宋_GB2312"/>
          <w:kern w:val="0"/>
          <w:sz w:val="28"/>
          <w:szCs w:val="28"/>
        </w:rPr>
        <w:t>江西农业大学，唯一完成单位，是本项目5名完成人的工作单位，为本项目完成提供了全方位的支持，为项目的实际运行提供必要科研、工作条件，负责项目整体设计、实施、总结及管理工作。</w:t>
      </w:r>
    </w:p>
    <w:p w14:paraId="06694125">
      <w:pPr>
        <w:adjustRightInd w:val="0"/>
        <w:snapToGrid w:val="0"/>
        <w:spacing w:line="360" w:lineRule="auto"/>
        <w:ind w:firstLine="560" w:firstLineChars="200"/>
        <w:rPr>
          <w:rFonts w:ascii="仿宋_GB2312" w:hAnsi="宋体" w:eastAsia="仿宋_GB2312"/>
          <w:kern w:val="0"/>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FhZWE4ZGFhZDE5MTQ5ZGQzZWI2OThmOTc0ZjVmYmUifQ=="/>
  </w:docVars>
  <w:rsids>
    <w:rsidRoot w:val="006C0D49"/>
    <w:rsid w:val="00006603"/>
    <w:rsid w:val="00011EEF"/>
    <w:rsid w:val="0004462B"/>
    <w:rsid w:val="00057B44"/>
    <w:rsid w:val="00077552"/>
    <w:rsid w:val="00096B03"/>
    <w:rsid w:val="000B0335"/>
    <w:rsid w:val="000C32D6"/>
    <w:rsid w:val="000D3FB0"/>
    <w:rsid w:val="000E12F1"/>
    <w:rsid w:val="000E4490"/>
    <w:rsid w:val="000F3FAD"/>
    <w:rsid w:val="000F4CB0"/>
    <w:rsid w:val="00101371"/>
    <w:rsid w:val="001046F1"/>
    <w:rsid w:val="00132AC8"/>
    <w:rsid w:val="0013596E"/>
    <w:rsid w:val="001433A7"/>
    <w:rsid w:val="00147C32"/>
    <w:rsid w:val="001517F1"/>
    <w:rsid w:val="0016350B"/>
    <w:rsid w:val="00176317"/>
    <w:rsid w:val="00181CF5"/>
    <w:rsid w:val="00184C72"/>
    <w:rsid w:val="001A7F15"/>
    <w:rsid w:val="001C2377"/>
    <w:rsid w:val="001D26E0"/>
    <w:rsid w:val="001D5760"/>
    <w:rsid w:val="001F5C8D"/>
    <w:rsid w:val="00203B91"/>
    <w:rsid w:val="0026152B"/>
    <w:rsid w:val="00263A80"/>
    <w:rsid w:val="002641A5"/>
    <w:rsid w:val="002904B0"/>
    <w:rsid w:val="00292595"/>
    <w:rsid w:val="002B4BFA"/>
    <w:rsid w:val="00331396"/>
    <w:rsid w:val="00350460"/>
    <w:rsid w:val="0036091F"/>
    <w:rsid w:val="00362269"/>
    <w:rsid w:val="003633AB"/>
    <w:rsid w:val="00370F62"/>
    <w:rsid w:val="00374024"/>
    <w:rsid w:val="003B4066"/>
    <w:rsid w:val="003B51B5"/>
    <w:rsid w:val="003E1267"/>
    <w:rsid w:val="003E6050"/>
    <w:rsid w:val="004007E0"/>
    <w:rsid w:val="00411661"/>
    <w:rsid w:val="004317A7"/>
    <w:rsid w:val="00447958"/>
    <w:rsid w:val="0046578B"/>
    <w:rsid w:val="00490321"/>
    <w:rsid w:val="004D3184"/>
    <w:rsid w:val="004E004C"/>
    <w:rsid w:val="004E2C20"/>
    <w:rsid w:val="004F5D1B"/>
    <w:rsid w:val="00501449"/>
    <w:rsid w:val="0051093A"/>
    <w:rsid w:val="00514E0F"/>
    <w:rsid w:val="005300B6"/>
    <w:rsid w:val="00532144"/>
    <w:rsid w:val="00544156"/>
    <w:rsid w:val="0055353B"/>
    <w:rsid w:val="00560477"/>
    <w:rsid w:val="00561009"/>
    <w:rsid w:val="005672DE"/>
    <w:rsid w:val="00572267"/>
    <w:rsid w:val="005772CA"/>
    <w:rsid w:val="005B35DA"/>
    <w:rsid w:val="005B476A"/>
    <w:rsid w:val="005D4554"/>
    <w:rsid w:val="005D67B2"/>
    <w:rsid w:val="00627BC2"/>
    <w:rsid w:val="00635373"/>
    <w:rsid w:val="00645868"/>
    <w:rsid w:val="00652B43"/>
    <w:rsid w:val="00656382"/>
    <w:rsid w:val="0066235D"/>
    <w:rsid w:val="00666512"/>
    <w:rsid w:val="00672BFC"/>
    <w:rsid w:val="006A4140"/>
    <w:rsid w:val="006A46B1"/>
    <w:rsid w:val="006B04BC"/>
    <w:rsid w:val="006C0D49"/>
    <w:rsid w:val="006D76E6"/>
    <w:rsid w:val="006E63E5"/>
    <w:rsid w:val="006F5178"/>
    <w:rsid w:val="006F69B0"/>
    <w:rsid w:val="00762A87"/>
    <w:rsid w:val="0078126E"/>
    <w:rsid w:val="00791DE9"/>
    <w:rsid w:val="007C0A3D"/>
    <w:rsid w:val="007C50BE"/>
    <w:rsid w:val="007F0686"/>
    <w:rsid w:val="007F32DA"/>
    <w:rsid w:val="0082690D"/>
    <w:rsid w:val="00832D70"/>
    <w:rsid w:val="00853820"/>
    <w:rsid w:val="008613F4"/>
    <w:rsid w:val="008725B8"/>
    <w:rsid w:val="008766E4"/>
    <w:rsid w:val="0088735A"/>
    <w:rsid w:val="008A10F2"/>
    <w:rsid w:val="008B1B06"/>
    <w:rsid w:val="008B5586"/>
    <w:rsid w:val="008B7680"/>
    <w:rsid w:val="008C59AC"/>
    <w:rsid w:val="008E5F13"/>
    <w:rsid w:val="0090715F"/>
    <w:rsid w:val="00912842"/>
    <w:rsid w:val="00944EF6"/>
    <w:rsid w:val="0096522D"/>
    <w:rsid w:val="009743DA"/>
    <w:rsid w:val="0098500F"/>
    <w:rsid w:val="00987AA3"/>
    <w:rsid w:val="009A171B"/>
    <w:rsid w:val="009A18C8"/>
    <w:rsid w:val="009B5565"/>
    <w:rsid w:val="009C229E"/>
    <w:rsid w:val="009C5BB4"/>
    <w:rsid w:val="009E23AB"/>
    <w:rsid w:val="009E2414"/>
    <w:rsid w:val="009E4B70"/>
    <w:rsid w:val="009F4F83"/>
    <w:rsid w:val="00A06B8A"/>
    <w:rsid w:val="00A231BC"/>
    <w:rsid w:val="00A26839"/>
    <w:rsid w:val="00A3129D"/>
    <w:rsid w:val="00A32B48"/>
    <w:rsid w:val="00A71328"/>
    <w:rsid w:val="00A74FE2"/>
    <w:rsid w:val="00A75B22"/>
    <w:rsid w:val="00A81F47"/>
    <w:rsid w:val="00A907C3"/>
    <w:rsid w:val="00A92D0C"/>
    <w:rsid w:val="00AB2178"/>
    <w:rsid w:val="00AD238A"/>
    <w:rsid w:val="00AD438F"/>
    <w:rsid w:val="00AF7BF9"/>
    <w:rsid w:val="00B34B19"/>
    <w:rsid w:val="00B416EB"/>
    <w:rsid w:val="00B43079"/>
    <w:rsid w:val="00B50613"/>
    <w:rsid w:val="00B90EB4"/>
    <w:rsid w:val="00BA036A"/>
    <w:rsid w:val="00BA0DAB"/>
    <w:rsid w:val="00BB13E6"/>
    <w:rsid w:val="00BC41D8"/>
    <w:rsid w:val="00BC6493"/>
    <w:rsid w:val="00BF4F55"/>
    <w:rsid w:val="00C051C9"/>
    <w:rsid w:val="00C07608"/>
    <w:rsid w:val="00C367A6"/>
    <w:rsid w:val="00C83E0C"/>
    <w:rsid w:val="00C91B46"/>
    <w:rsid w:val="00C91B86"/>
    <w:rsid w:val="00CB30AC"/>
    <w:rsid w:val="00CE0D82"/>
    <w:rsid w:val="00CF0046"/>
    <w:rsid w:val="00CF1A38"/>
    <w:rsid w:val="00CF5994"/>
    <w:rsid w:val="00D06094"/>
    <w:rsid w:val="00DA3F3C"/>
    <w:rsid w:val="00DB41DD"/>
    <w:rsid w:val="00DF03C2"/>
    <w:rsid w:val="00DF1A38"/>
    <w:rsid w:val="00E47375"/>
    <w:rsid w:val="00E55A37"/>
    <w:rsid w:val="00E66C03"/>
    <w:rsid w:val="00E8069B"/>
    <w:rsid w:val="00EA19DC"/>
    <w:rsid w:val="00EB34DD"/>
    <w:rsid w:val="00EB3C33"/>
    <w:rsid w:val="00EC0844"/>
    <w:rsid w:val="00EC13BF"/>
    <w:rsid w:val="00EC2542"/>
    <w:rsid w:val="00ED6906"/>
    <w:rsid w:val="00EE0ADE"/>
    <w:rsid w:val="00F25825"/>
    <w:rsid w:val="00F56D1C"/>
    <w:rsid w:val="00FB0ED2"/>
    <w:rsid w:val="00FD01FB"/>
    <w:rsid w:val="00FD5B14"/>
    <w:rsid w:val="00FD650D"/>
    <w:rsid w:val="05DB04A3"/>
    <w:rsid w:val="18B4748A"/>
    <w:rsid w:val="19A8072B"/>
    <w:rsid w:val="19E20418"/>
    <w:rsid w:val="1D4C053F"/>
    <w:rsid w:val="1F4A0A67"/>
    <w:rsid w:val="222039B6"/>
    <w:rsid w:val="285E0161"/>
    <w:rsid w:val="2C382C3F"/>
    <w:rsid w:val="392845EB"/>
    <w:rsid w:val="39BD6398"/>
    <w:rsid w:val="3A372F3B"/>
    <w:rsid w:val="3CFE5774"/>
    <w:rsid w:val="3D8315F6"/>
    <w:rsid w:val="41923405"/>
    <w:rsid w:val="426D0C07"/>
    <w:rsid w:val="581E7B11"/>
    <w:rsid w:val="5CC372E6"/>
    <w:rsid w:val="5CEF4F50"/>
    <w:rsid w:val="5DBA7B13"/>
    <w:rsid w:val="61CB6793"/>
    <w:rsid w:val="69093B4D"/>
    <w:rsid w:val="6CDF7650"/>
    <w:rsid w:val="73691968"/>
    <w:rsid w:val="760D62CE"/>
    <w:rsid w:val="7A3D6E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
    <w:pPr>
      <w:spacing w:beforeAutospacing="1" w:afterAutospacing="1"/>
      <w:jc w:val="left"/>
      <w:outlineLvl w:val="0"/>
    </w:pPr>
    <w:rPr>
      <w:rFonts w:hint="eastAsia" w:ascii="宋体" w:hAnsi="宋体"/>
      <w:b/>
      <w:bCs/>
      <w:kern w:val="44"/>
      <w:sz w:val="48"/>
      <w:szCs w:val="48"/>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5"/>
    <w:qFormat/>
    <w:uiPriority w:val="0"/>
    <w:pPr>
      <w:jc w:val="left"/>
    </w:pPr>
  </w:style>
  <w:style w:type="paragraph" w:styleId="4">
    <w:name w:val="Balloon Text"/>
    <w:basedOn w:val="1"/>
    <w:link w:val="13"/>
    <w:semiHidden/>
    <w:unhideWhenUsed/>
    <w:qFormat/>
    <w:uiPriority w:val="99"/>
    <w:rPr>
      <w:sz w:val="18"/>
      <w:szCs w:val="18"/>
    </w:rPr>
  </w:style>
  <w:style w:type="paragraph" w:styleId="5">
    <w:name w:val="footer"/>
    <w:basedOn w:val="1"/>
    <w:link w:val="12"/>
    <w:unhideWhenUsed/>
    <w:qFormat/>
    <w:uiPriority w:val="99"/>
    <w:pPr>
      <w:tabs>
        <w:tab w:val="center" w:pos="4153"/>
        <w:tab w:val="right" w:pos="8306"/>
      </w:tabs>
      <w:snapToGrid w:val="0"/>
      <w:jc w:val="left"/>
    </w:pPr>
    <w:rPr>
      <w:sz w:val="18"/>
      <w:szCs w:val="18"/>
    </w:rPr>
  </w:style>
  <w:style w:type="paragraph" w:styleId="6">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annotation reference"/>
    <w:basedOn w:val="9"/>
    <w:qFormat/>
    <w:uiPriority w:val="0"/>
    <w:rPr>
      <w:sz w:val="21"/>
      <w:szCs w:val="21"/>
    </w:rPr>
  </w:style>
  <w:style w:type="character" w:customStyle="1" w:styleId="11">
    <w:name w:val="页眉 字符"/>
    <w:basedOn w:val="9"/>
    <w:link w:val="6"/>
    <w:qFormat/>
    <w:uiPriority w:val="99"/>
    <w:rPr>
      <w:sz w:val="18"/>
      <w:szCs w:val="18"/>
    </w:rPr>
  </w:style>
  <w:style w:type="character" w:customStyle="1" w:styleId="12">
    <w:name w:val="页脚 字符"/>
    <w:basedOn w:val="9"/>
    <w:link w:val="5"/>
    <w:qFormat/>
    <w:uiPriority w:val="99"/>
    <w:rPr>
      <w:sz w:val="18"/>
      <w:szCs w:val="18"/>
    </w:rPr>
  </w:style>
  <w:style w:type="character" w:customStyle="1" w:styleId="13">
    <w:name w:val="批注框文本 字符"/>
    <w:basedOn w:val="9"/>
    <w:link w:val="4"/>
    <w:semiHidden/>
    <w:qFormat/>
    <w:uiPriority w:val="99"/>
    <w:rPr>
      <w:rFonts w:ascii="Times New Roman" w:hAnsi="Times New Roman" w:eastAsia="宋体" w:cs="Times New Roman"/>
      <w:sz w:val="18"/>
      <w:szCs w:val="18"/>
    </w:rPr>
  </w:style>
  <w:style w:type="character" w:customStyle="1" w:styleId="14">
    <w:name w:val="批注文字 字符"/>
    <w:basedOn w:val="9"/>
    <w:semiHidden/>
    <w:qFormat/>
    <w:uiPriority w:val="99"/>
    <w:rPr>
      <w:rFonts w:ascii="Times New Roman" w:hAnsi="Times New Roman" w:eastAsia="宋体" w:cs="Times New Roman"/>
      <w:szCs w:val="24"/>
    </w:rPr>
  </w:style>
  <w:style w:type="character" w:customStyle="1" w:styleId="15">
    <w:name w:val="批注文字 字符1"/>
    <w:basedOn w:val="9"/>
    <w:link w:val="3"/>
    <w:qFormat/>
    <w:uiPriority w:val="0"/>
    <w:rPr>
      <w:rFonts w:ascii="Times New Roman" w:hAnsi="Times New Roman" w:eastAsia="宋体" w:cs="Times New Roman"/>
      <w:szCs w:val="24"/>
    </w:rPr>
  </w:style>
  <w:style w:type="paragraph" w:customStyle="1" w:styleId="16">
    <w:name w:val="修订1"/>
    <w:hidden/>
    <w:unhideWhenUsed/>
    <w:qFormat/>
    <w:uiPriority w:val="99"/>
    <w:rPr>
      <w:rFonts w:ascii="Times New Roman" w:hAnsi="Times New Roman" w:eastAsia="宋体" w:cs="Times New Roman"/>
      <w:kern w:val="2"/>
      <w:sz w:val="21"/>
      <w:szCs w:val="24"/>
      <w:lang w:val="en-US" w:eastAsia="zh-CN" w:bidi="ar-SA"/>
    </w:rPr>
  </w:style>
  <w:style w:type="paragraph" w:customStyle="1" w:styleId="17">
    <w:name w:val="修订2"/>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2193</Words>
  <Characters>3031</Characters>
  <Lines>22</Lines>
  <Paragraphs>6</Paragraphs>
  <TotalTime>2</TotalTime>
  <ScaleCrop>false</ScaleCrop>
  <LinksUpToDate>false</LinksUpToDate>
  <CharactersWithSpaces>3121</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2024-11-24T03:00:00Z</dcterms:created>
  <dc:creator>anabelle</dc:creator>
  <cp:lastModifiedBy>111</cp:lastModifiedBy>
  <dcterms:modified xsi:type="dcterms:W3CDTF">2024-12-14T02:32:44Z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BF98A10E632A48FD851E3912CA6756D9_13</vt:lpwstr>
  </property>
</Properties>
</file>