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DDDC6E" w14:textId="77777777" w:rsidR="00A80F9D" w:rsidRDefault="00000000">
      <w:pPr>
        <w:spacing w:line="480" w:lineRule="exact"/>
        <w:jc w:val="both"/>
        <w:rPr>
          <w:rFonts w:ascii="Times New Roman" w:eastAsia="华文仿宋" w:hAnsi="Times New Roman" w:cs="Times New Roman"/>
        </w:rPr>
      </w:pPr>
      <w:r>
        <w:rPr>
          <w:rFonts w:ascii="Times New Roman" w:eastAsia="华文仿宋" w:hAnsi="Times New Roman" w:cs="Times New Roman"/>
          <w:b/>
        </w:rPr>
        <w:t>项目名称</w:t>
      </w:r>
      <w:r>
        <w:rPr>
          <w:rFonts w:ascii="Times New Roman" w:eastAsia="华文仿宋" w:hAnsi="Times New Roman" w:cs="Times New Roman"/>
          <w:bCs/>
        </w:rPr>
        <w:t>：</w:t>
      </w:r>
      <w:r>
        <w:rPr>
          <w:rFonts w:ascii="Times New Roman" w:eastAsia="华文仿宋" w:hAnsi="Times New Roman" w:cs="Times New Roman"/>
          <w:color w:val="000000"/>
        </w:rPr>
        <w:t>几类偏微分方程解的分类研究</w:t>
      </w:r>
    </w:p>
    <w:p w14:paraId="7B73319F" w14:textId="77777777" w:rsidR="00A80F9D" w:rsidRDefault="00000000">
      <w:pPr>
        <w:spacing w:line="480" w:lineRule="exact"/>
        <w:jc w:val="both"/>
        <w:rPr>
          <w:rFonts w:ascii="Times New Roman" w:eastAsia="华文仿宋" w:hAnsi="Times New Roman" w:cs="Times New Roman"/>
        </w:rPr>
      </w:pPr>
      <w:r>
        <w:rPr>
          <w:rFonts w:ascii="Times New Roman" w:eastAsia="华文仿宋" w:hAnsi="Times New Roman" w:cs="Times New Roman"/>
          <w:b/>
        </w:rPr>
        <w:t>提名者：</w:t>
      </w:r>
      <w:r>
        <w:rPr>
          <w:rFonts w:ascii="Times New Roman" w:eastAsia="华文仿宋" w:hAnsi="Times New Roman" w:cs="Times New Roman"/>
        </w:rPr>
        <w:t>江西省教育厅</w:t>
      </w:r>
    </w:p>
    <w:p w14:paraId="7BB9FE0A" w14:textId="77777777" w:rsidR="00A80F9D" w:rsidRDefault="00000000">
      <w:pPr>
        <w:spacing w:line="480" w:lineRule="exact"/>
        <w:jc w:val="both"/>
        <w:rPr>
          <w:rFonts w:ascii="Times New Roman" w:eastAsia="华文仿宋" w:hAnsi="Times New Roman" w:cs="Times New Roman"/>
          <w:b/>
        </w:rPr>
      </w:pPr>
      <w:r>
        <w:rPr>
          <w:rFonts w:ascii="Times New Roman" w:eastAsia="华文仿宋" w:hAnsi="Times New Roman" w:cs="Times New Roman"/>
          <w:b/>
        </w:rPr>
        <w:t>提名者意见：</w:t>
      </w:r>
    </w:p>
    <w:p w14:paraId="2BA12930" w14:textId="77777777" w:rsidR="00A80F9D" w:rsidRDefault="00000000">
      <w:pPr>
        <w:spacing w:line="480" w:lineRule="exact"/>
        <w:ind w:firstLineChars="200" w:firstLine="480"/>
        <w:jc w:val="both"/>
        <w:rPr>
          <w:rFonts w:ascii="Times New Roman" w:eastAsia="华文仿宋" w:hAnsi="Times New Roman" w:cs="Times New Roman"/>
          <w:color w:val="000000"/>
        </w:rPr>
      </w:pPr>
      <w:r>
        <w:rPr>
          <w:rFonts w:ascii="Times New Roman" w:eastAsia="华文仿宋" w:hAnsi="Times New Roman" w:cs="Times New Roman"/>
          <w:color w:val="000000"/>
        </w:rPr>
        <w:t>偏微分方程，作为一门建立数学模型、进行理论分析、解决实际问题的数学分支学科，与泛函分析、黎曼几何等其它学科相互渗透，逐渐发展为其它数学分支的重要研究工具。本项目围绕偏微分方程解的</w:t>
      </w:r>
      <w:r>
        <w:rPr>
          <w:rFonts w:ascii="Times New Roman" w:eastAsia="华文仿宋" w:hAnsi="Times New Roman" w:cs="Times New Roman"/>
          <w:color w:val="000000"/>
        </w:rPr>
        <w:t>Liouville</w:t>
      </w:r>
      <w:r>
        <w:rPr>
          <w:rFonts w:ascii="Times New Roman" w:eastAsia="华文仿宋" w:hAnsi="Times New Roman" w:cs="Times New Roman"/>
          <w:color w:val="000000"/>
        </w:rPr>
        <w:t>型定理、渐近行为、唯一性、径向对称性、单调性、极值原理等问题进行系统研究，进一步丰富和完善偏微分方程的基本理论。本项目受国家自然科学基金及江西省自然科学基金资助，代表性论文发表于</w:t>
      </w:r>
      <w:r>
        <w:rPr>
          <w:rFonts w:ascii="Times New Roman" w:eastAsia="华文仿宋" w:hAnsi="Times New Roman" w:cs="Times New Roman"/>
          <w:color w:val="000000"/>
        </w:rPr>
        <w:t>Journal of Differential Equations, Pacific Journal of Mathematics</w:t>
      </w:r>
      <w:r>
        <w:rPr>
          <w:rFonts w:ascii="Times New Roman" w:eastAsia="华文仿宋" w:hAnsi="Times New Roman" w:cs="Times New Roman"/>
          <w:color w:val="000000"/>
        </w:rPr>
        <w:t>等权威期刊上，其中</w:t>
      </w:r>
      <w:r>
        <w:rPr>
          <w:rFonts w:ascii="Times New Roman" w:eastAsia="华文仿宋" w:hAnsi="Times New Roman" w:cs="Times New Roman"/>
          <w:color w:val="000000"/>
        </w:rPr>
        <w:t>ESI</w:t>
      </w:r>
      <w:r>
        <w:rPr>
          <w:rFonts w:ascii="Times New Roman" w:eastAsia="华文仿宋" w:hAnsi="Times New Roman" w:cs="Times New Roman"/>
          <w:color w:val="000000"/>
        </w:rPr>
        <w:t>高被</w:t>
      </w:r>
      <w:proofErr w:type="gramStart"/>
      <w:r>
        <w:rPr>
          <w:rFonts w:ascii="Times New Roman" w:eastAsia="华文仿宋" w:hAnsi="Times New Roman" w:cs="Times New Roman"/>
          <w:color w:val="000000"/>
        </w:rPr>
        <w:t>引论文</w:t>
      </w:r>
      <w:proofErr w:type="gramEnd"/>
      <w:r>
        <w:rPr>
          <w:rFonts w:ascii="Times New Roman" w:eastAsia="华文仿宋" w:hAnsi="Times New Roman" w:cs="Times New Roman"/>
          <w:color w:val="000000"/>
        </w:rPr>
        <w:t>1</w:t>
      </w:r>
      <w:r>
        <w:rPr>
          <w:rFonts w:ascii="Times New Roman" w:eastAsia="华文仿宋" w:hAnsi="Times New Roman" w:cs="Times New Roman"/>
          <w:color w:val="000000"/>
        </w:rPr>
        <w:t>篇。代表性论文被</w:t>
      </w:r>
      <w:r>
        <w:rPr>
          <w:rFonts w:ascii="Times New Roman" w:eastAsia="华文仿宋" w:hAnsi="Times New Roman" w:cs="Times New Roman"/>
          <w:color w:val="000000"/>
        </w:rPr>
        <w:t>Advances in Mathematics, Journal of Functional Analysis, Israel Journal of Mathematics</w:t>
      </w:r>
      <w:r>
        <w:rPr>
          <w:rFonts w:ascii="Times New Roman" w:eastAsia="华文仿宋" w:hAnsi="Times New Roman" w:cs="Times New Roman"/>
          <w:color w:val="000000"/>
        </w:rPr>
        <w:t>等国际著名期刊正面引用。</w:t>
      </w:r>
    </w:p>
    <w:p w14:paraId="3CC0F5DC" w14:textId="77777777" w:rsidR="00A80F9D" w:rsidRDefault="00000000">
      <w:pPr>
        <w:spacing w:line="480" w:lineRule="exact"/>
        <w:jc w:val="both"/>
        <w:rPr>
          <w:rFonts w:ascii="Times New Roman" w:eastAsia="华文仿宋" w:hAnsi="Times New Roman" w:cs="Times New Roman"/>
        </w:rPr>
      </w:pPr>
      <w:r>
        <w:rPr>
          <w:rFonts w:ascii="Times New Roman" w:eastAsia="华文仿宋" w:hAnsi="Times New Roman" w:cs="Times New Roman"/>
          <w:b/>
        </w:rPr>
        <w:t>提名等级：</w:t>
      </w:r>
      <w:r>
        <w:rPr>
          <w:rFonts w:ascii="Times New Roman" w:eastAsia="华文仿宋" w:hAnsi="Times New Roman" w:cs="Times New Roman" w:hint="eastAsia"/>
          <w:bCs/>
        </w:rPr>
        <w:t>江西省</w:t>
      </w:r>
      <w:r>
        <w:rPr>
          <w:rFonts w:ascii="Times New Roman" w:eastAsia="华文仿宋" w:hAnsi="Times New Roman" w:cs="Times New Roman"/>
          <w:color w:val="000000"/>
        </w:rPr>
        <w:t>自然科学</w:t>
      </w:r>
      <w:r>
        <w:rPr>
          <w:rFonts w:ascii="Times New Roman" w:eastAsia="华文仿宋" w:hAnsi="Times New Roman" w:cs="Times New Roman" w:hint="eastAsia"/>
          <w:color w:val="000000"/>
        </w:rPr>
        <w:t>奖</w:t>
      </w:r>
      <w:r>
        <w:rPr>
          <w:rFonts w:ascii="Times New Roman" w:eastAsia="华文仿宋" w:hAnsi="Times New Roman" w:cs="Times New Roman"/>
          <w:b/>
        </w:rPr>
        <w:t>二</w:t>
      </w:r>
      <w:r>
        <w:rPr>
          <w:rFonts w:ascii="Times New Roman" w:eastAsia="华文仿宋" w:hAnsi="Times New Roman" w:cs="Times New Roman"/>
        </w:rPr>
        <w:t>等奖</w:t>
      </w:r>
    </w:p>
    <w:p w14:paraId="6832694D" w14:textId="77777777" w:rsidR="00A80F9D" w:rsidRDefault="00000000">
      <w:pPr>
        <w:pStyle w:val="a9"/>
        <w:spacing w:line="480" w:lineRule="exact"/>
        <w:ind w:firstLineChars="0" w:firstLine="0"/>
        <w:jc w:val="both"/>
        <w:rPr>
          <w:rFonts w:eastAsia="华文仿宋"/>
          <w:b/>
        </w:rPr>
      </w:pPr>
      <w:r>
        <w:rPr>
          <w:rFonts w:eastAsia="华文仿宋"/>
          <w:b/>
        </w:rPr>
        <w:t>项目简介：</w:t>
      </w:r>
    </w:p>
    <w:p w14:paraId="4B591320" w14:textId="77777777" w:rsidR="00A80F9D" w:rsidRDefault="00000000">
      <w:pPr>
        <w:spacing w:line="480" w:lineRule="exact"/>
        <w:ind w:firstLineChars="200" w:firstLine="480"/>
        <w:jc w:val="both"/>
        <w:rPr>
          <w:rFonts w:ascii="Times New Roman" w:eastAsia="华文仿宋" w:hAnsi="Times New Roman" w:cs="Times New Roman"/>
        </w:rPr>
      </w:pPr>
      <w:r>
        <w:rPr>
          <w:rFonts w:ascii="Times New Roman" w:eastAsia="华文仿宋" w:hAnsi="Times New Roman" w:cs="Times New Roman"/>
        </w:rPr>
        <w:t>偏微分方程与泛函分析、黎曼几何、调和分析等学科相互渗透，是纯粹数学的许多分支与自然科学、工程技术等领域之间的一座重要桥梁。自</w:t>
      </w:r>
      <w:r>
        <w:rPr>
          <w:rFonts w:ascii="Times New Roman" w:eastAsia="华文仿宋" w:hAnsi="Times New Roman" w:cs="Times New Roman"/>
        </w:rPr>
        <w:t>18</w:t>
      </w:r>
      <w:r>
        <w:rPr>
          <w:rFonts w:ascii="Times New Roman" w:eastAsia="华文仿宋" w:hAnsi="Times New Roman" w:cs="Times New Roman"/>
        </w:rPr>
        <w:t>世纪以来，偏微分方程很多理论取得了丰硕的研究成果。</w:t>
      </w:r>
      <w:r>
        <w:rPr>
          <w:rFonts w:ascii="Times New Roman" w:eastAsia="华文仿宋" w:hAnsi="Times New Roman" w:cs="Times New Roman"/>
          <w:color w:val="000000"/>
        </w:rPr>
        <w:t>本项目围绕偏微分方程解的</w:t>
      </w:r>
      <w:r>
        <w:rPr>
          <w:rFonts w:ascii="Times New Roman" w:eastAsia="华文仿宋" w:hAnsi="Times New Roman" w:cs="Times New Roman"/>
          <w:color w:val="000000"/>
        </w:rPr>
        <w:t>Liouville</w:t>
      </w:r>
      <w:r>
        <w:rPr>
          <w:rFonts w:ascii="Times New Roman" w:eastAsia="华文仿宋" w:hAnsi="Times New Roman" w:cs="Times New Roman"/>
          <w:color w:val="000000"/>
        </w:rPr>
        <w:t>型定理、渐近行为、唯一性、径向对称性、单调性、极值原理等问题进行系统研究，进一步丰富和完善偏微分方程的基本理论。</w:t>
      </w:r>
      <w:r>
        <w:rPr>
          <w:rFonts w:ascii="Times New Roman" w:eastAsia="华文仿宋" w:hAnsi="Times New Roman" w:cs="Times New Roman"/>
        </w:rPr>
        <w:t>本项目的研究是现代分析领域热点问题之一，具有重要的理论意义和研究价值。取得的主要创新性成果如下：</w:t>
      </w:r>
    </w:p>
    <w:p w14:paraId="211566EE" w14:textId="77777777" w:rsidR="00A80F9D" w:rsidRDefault="00000000">
      <w:pPr>
        <w:spacing w:line="480" w:lineRule="exact"/>
        <w:ind w:firstLineChars="200" w:firstLine="480"/>
        <w:jc w:val="both"/>
        <w:rPr>
          <w:rFonts w:ascii="Times New Roman" w:eastAsia="华文仿宋" w:hAnsi="Times New Roman" w:cs="Times New Roman"/>
        </w:rPr>
      </w:pPr>
      <w:r>
        <w:rPr>
          <w:rFonts w:ascii="Times New Roman" w:eastAsia="华文仿宋" w:hAnsi="Times New Roman" w:cs="Times New Roman"/>
        </w:rPr>
        <w:t>（</w:t>
      </w:r>
      <w:r>
        <w:rPr>
          <w:rFonts w:ascii="Times New Roman" w:eastAsia="华文仿宋" w:hAnsi="Times New Roman" w:cs="Times New Roman"/>
        </w:rPr>
        <w:t>1</w:t>
      </w:r>
      <w:r>
        <w:rPr>
          <w:rFonts w:ascii="Times New Roman" w:eastAsia="华文仿宋" w:hAnsi="Times New Roman" w:cs="Times New Roman"/>
        </w:rPr>
        <w:t>）通过引入近似极大化序列，独立证明了分数阶微分方程在无解区域的极值原理，发展了分数阶微分方程</w:t>
      </w:r>
      <w:r>
        <w:rPr>
          <w:rFonts w:ascii="Times New Roman" w:eastAsia="华文仿宋" w:hAnsi="Times New Roman" w:cs="Times New Roman"/>
        </w:rPr>
        <w:t>Sliding</w:t>
      </w:r>
      <w:r>
        <w:rPr>
          <w:rFonts w:ascii="Times New Roman" w:eastAsia="华文仿宋" w:hAnsi="Times New Roman" w:cs="Times New Roman"/>
        </w:rPr>
        <w:t>方法，建立了分数阶微分方程在无界区域的</w:t>
      </w:r>
      <w:r>
        <w:rPr>
          <w:rFonts w:ascii="Times New Roman" w:eastAsia="华文仿宋" w:hAnsi="Times New Roman" w:cs="Times New Roman"/>
        </w:rPr>
        <w:t>Serrin</w:t>
      </w:r>
      <w:proofErr w:type="gramStart"/>
      <w:r>
        <w:rPr>
          <w:rFonts w:ascii="Times New Roman" w:eastAsia="华文仿宋" w:hAnsi="Times New Roman" w:cs="Times New Roman"/>
        </w:rPr>
        <w:t>型超定问题</w:t>
      </w:r>
      <w:proofErr w:type="gramEnd"/>
      <w:r>
        <w:rPr>
          <w:rFonts w:ascii="Times New Roman" w:eastAsia="华文仿宋" w:hAnsi="Times New Roman" w:cs="Times New Roman"/>
        </w:rPr>
        <w:t>。</w:t>
      </w:r>
    </w:p>
    <w:p w14:paraId="27A0870B" w14:textId="77777777" w:rsidR="00A80F9D" w:rsidRDefault="00000000">
      <w:pPr>
        <w:spacing w:line="480" w:lineRule="exact"/>
        <w:ind w:firstLineChars="200" w:firstLine="480"/>
        <w:jc w:val="both"/>
        <w:rPr>
          <w:rFonts w:ascii="Times New Roman" w:eastAsia="华文仿宋" w:hAnsi="Times New Roman" w:cs="Times New Roman"/>
        </w:rPr>
      </w:pPr>
      <w:r>
        <w:rPr>
          <w:rFonts w:ascii="Times New Roman" w:eastAsia="华文仿宋" w:hAnsi="Times New Roman" w:cs="Times New Roman"/>
        </w:rPr>
        <w:t>（</w:t>
      </w:r>
      <w:r>
        <w:rPr>
          <w:rFonts w:ascii="Times New Roman" w:eastAsia="华文仿宋" w:hAnsi="Times New Roman" w:cs="Times New Roman"/>
        </w:rPr>
        <w:t>2</w:t>
      </w:r>
      <w:r>
        <w:rPr>
          <w:rFonts w:ascii="Times New Roman" w:eastAsia="华文仿宋" w:hAnsi="Times New Roman" w:cs="Times New Roman"/>
        </w:rPr>
        <w:t>）在临界指标下，独立证明了逆</w:t>
      </w:r>
      <w:r>
        <w:rPr>
          <w:rFonts w:ascii="Times New Roman" w:eastAsia="华文仿宋" w:hAnsi="Times New Roman" w:cs="Times New Roman"/>
        </w:rPr>
        <w:t>Hardy-Littlewood-Sobolev</w:t>
      </w:r>
      <w:r>
        <w:rPr>
          <w:rFonts w:ascii="Times New Roman" w:eastAsia="华文仿宋" w:hAnsi="Times New Roman" w:cs="Times New Roman"/>
        </w:rPr>
        <w:t>不等式对应欧拉方程解的径向对称性和单调性；对更一般的非线性项，建立了</w:t>
      </w:r>
      <w:r>
        <w:rPr>
          <w:rFonts w:ascii="Times New Roman" w:eastAsia="华文仿宋" w:hAnsi="Times New Roman" w:cs="Times New Roman"/>
        </w:rPr>
        <w:t>Liouville</w:t>
      </w:r>
      <w:r>
        <w:rPr>
          <w:rFonts w:ascii="Times New Roman" w:eastAsia="华文仿宋" w:hAnsi="Times New Roman" w:cs="Times New Roman"/>
        </w:rPr>
        <w:t>型定理，为逆</w:t>
      </w:r>
      <w:r>
        <w:rPr>
          <w:rFonts w:ascii="Times New Roman" w:eastAsia="华文仿宋" w:hAnsi="Times New Roman" w:cs="Times New Roman"/>
        </w:rPr>
        <w:t>Hardy-Littlewood-Sobolev</w:t>
      </w:r>
      <w:r>
        <w:rPr>
          <w:rFonts w:ascii="Times New Roman" w:eastAsia="华文仿宋" w:hAnsi="Times New Roman" w:cs="Times New Roman"/>
        </w:rPr>
        <w:t>不等式的最佳常数计算提供了支撑。</w:t>
      </w:r>
    </w:p>
    <w:p w14:paraId="095B6A19" w14:textId="77777777" w:rsidR="00A80F9D" w:rsidRDefault="00000000">
      <w:pPr>
        <w:spacing w:line="480" w:lineRule="exact"/>
        <w:jc w:val="both"/>
        <w:rPr>
          <w:rFonts w:ascii="Times New Roman" w:eastAsia="华文仿宋" w:hAnsi="Times New Roman" w:cs="Times New Roman"/>
          <w:color w:val="000000"/>
        </w:rPr>
      </w:pPr>
      <w:r>
        <w:rPr>
          <w:rFonts w:ascii="Times New Roman" w:eastAsia="华文仿宋" w:hAnsi="Times New Roman" w:cs="Times New Roman"/>
          <w:color w:val="000000"/>
        </w:rPr>
        <w:t>本项目受国家自然科学基金及江西省自然科学基金资助，代表性论文发表于</w:t>
      </w:r>
      <w:r>
        <w:rPr>
          <w:rFonts w:ascii="Times New Roman" w:eastAsia="华文仿宋" w:hAnsi="Times New Roman" w:cs="Times New Roman"/>
          <w:color w:val="000000"/>
        </w:rPr>
        <w:t>Journal of Differential Equations, Pacific Journal of Mathematics</w:t>
      </w:r>
      <w:r>
        <w:rPr>
          <w:rFonts w:ascii="Times New Roman" w:eastAsia="华文仿宋" w:hAnsi="Times New Roman" w:cs="Times New Roman"/>
          <w:color w:val="000000"/>
        </w:rPr>
        <w:t>等权威期刊上，其</w:t>
      </w:r>
      <w:r>
        <w:rPr>
          <w:rFonts w:ascii="Times New Roman" w:eastAsia="华文仿宋" w:hAnsi="Times New Roman" w:cs="Times New Roman"/>
          <w:color w:val="000000"/>
        </w:rPr>
        <w:lastRenderedPageBreak/>
        <w:t>中</w:t>
      </w:r>
      <w:r>
        <w:rPr>
          <w:rFonts w:ascii="Times New Roman" w:eastAsia="华文仿宋" w:hAnsi="Times New Roman" w:cs="Times New Roman"/>
          <w:color w:val="000000"/>
        </w:rPr>
        <w:t>ESI</w:t>
      </w:r>
      <w:r>
        <w:rPr>
          <w:rFonts w:ascii="Times New Roman" w:eastAsia="华文仿宋" w:hAnsi="Times New Roman" w:cs="Times New Roman"/>
          <w:color w:val="000000"/>
        </w:rPr>
        <w:t>高被</w:t>
      </w:r>
      <w:proofErr w:type="gramStart"/>
      <w:r>
        <w:rPr>
          <w:rFonts w:ascii="Times New Roman" w:eastAsia="华文仿宋" w:hAnsi="Times New Roman" w:cs="Times New Roman"/>
          <w:color w:val="000000"/>
        </w:rPr>
        <w:t>引论文</w:t>
      </w:r>
      <w:proofErr w:type="gramEnd"/>
      <w:r>
        <w:rPr>
          <w:rFonts w:ascii="Times New Roman" w:eastAsia="华文仿宋" w:hAnsi="Times New Roman" w:cs="Times New Roman"/>
          <w:color w:val="000000"/>
        </w:rPr>
        <w:t>1</w:t>
      </w:r>
      <w:r>
        <w:rPr>
          <w:rFonts w:ascii="Times New Roman" w:eastAsia="华文仿宋" w:hAnsi="Times New Roman" w:cs="Times New Roman"/>
          <w:color w:val="000000"/>
        </w:rPr>
        <w:t>篇。代表性论文被</w:t>
      </w:r>
      <w:r>
        <w:rPr>
          <w:rFonts w:ascii="Times New Roman" w:eastAsia="华文仿宋" w:hAnsi="Times New Roman" w:cs="Times New Roman"/>
          <w:color w:val="000000"/>
        </w:rPr>
        <w:t>Advances in Mathematics, Journal of Functional Analysis, Israel Journal of Mathematics</w:t>
      </w:r>
      <w:r>
        <w:rPr>
          <w:rFonts w:ascii="Times New Roman" w:eastAsia="华文仿宋" w:hAnsi="Times New Roman" w:cs="Times New Roman"/>
          <w:color w:val="000000"/>
        </w:rPr>
        <w:t>等国际著名期刊正面引用。</w:t>
      </w:r>
    </w:p>
    <w:p w14:paraId="706A44EC" w14:textId="77777777" w:rsidR="00A80F9D" w:rsidRDefault="00000000">
      <w:pPr>
        <w:spacing w:beforeLines="50" w:before="156" w:afterLines="50" w:after="156" w:line="480" w:lineRule="exact"/>
        <w:jc w:val="both"/>
        <w:rPr>
          <w:rFonts w:ascii="Times New Roman" w:eastAsia="华文仿宋" w:hAnsi="Times New Roman" w:cs="Times New Roman"/>
          <w:b/>
        </w:rPr>
      </w:pPr>
      <w:r>
        <w:rPr>
          <w:rFonts w:ascii="Times New Roman" w:eastAsia="华文仿宋" w:hAnsi="Times New Roman" w:cs="Times New Roman"/>
          <w:b/>
        </w:rPr>
        <w:t>代表性论文专著目录</w:t>
      </w:r>
      <w:r>
        <w:rPr>
          <w:rFonts w:ascii="Times New Roman" w:eastAsia="华文仿宋" w:hAnsi="Times New Roman" w:cs="Times New Roman" w:hint="eastAsia"/>
          <w:b/>
        </w:rPr>
        <w:t>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46"/>
        <w:gridCol w:w="3233"/>
        <w:gridCol w:w="1211"/>
        <w:gridCol w:w="1512"/>
        <w:gridCol w:w="739"/>
        <w:gridCol w:w="955"/>
      </w:tblGrid>
      <w:tr w:rsidR="00A80F9D" w14:paraId="6E84733A" w14:textId="77777777">
        <w:tc>
          <w:tcPr>
            <w:tcW w:w="646" w:type="dxa"/>
            <w:vAlign w:val="center"/>
          </w:tcPr>
          <w:p w14:paraId="313B61FD" w14:textId="77777777" w:rsidR="00A80F9D" w:rsidRDefault="00000000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  <w:t>序</w:t>
            </w:r>
          </w:p>
          <w:p w14:paraId="6C7C9C9D" w14:textId="77777777" w:rsidR="00A80F9D" w:rsidRDefault="00000000">
            <w:pPr>
              <w:spacing w:line="0" w:lineRule="atLeast"/>
              <w:jc w:val="center"/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  <w:t>号</w:t>
            </w:r>
          </w:p>
        </w:tc>
        <w:tc>
          <w:tcPr>
            <w:tcW w:w="3233" w:type="dxa"/>
            <w:vAlign w:val="center"/>
          </w:tcPr>
          <w:p w14:paraId="039129F3" w14:textId="77777777" w:rsidR="00A80F9D" w:rsidRDefault="00000000">
            <w:pPr>
              <w:spacing w:line="0" w:lineRule="atLeast"/>
              <w:jc w:val="center"/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  <w:t>论文（专著）名称</w:t>
            </w:r>
            <w:r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  <w:t>/</w:t>
            </w:r>
            <w:r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  <w:t>刊名</w:t>
            </w:r>
          </w:p>
        </w:tc>
        <w:tc>
          <w:tcPr>
            <w:tcW w:w="1211" w:type="dxa"/>
            <w:vAlign w:val="center"/>
          </w:tcPr>
          <w:p w14:paraId="73030CF1" w14:textId="77777777" w:rsidR="00A80F9D" w:rsidRDefault="00000000">
            <w:pPr>
              <w:spacing w:line="0" w:lineRule="atLeast"/>
              <w:jc w:val="center"/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  <w:t>作者（按发</w:t>
            </w:r>
            <w:r>
              <w:rPr>
                <w:rFonts w:ascii="Times New Roman" w:eastAsia="华文仿宋" w:hAnsi="Times New Roman" w:cs="Times New Roman"/>
                <w:b/>
                <w:bCs/>
                <w:spacing w:val="-20"/>
                <w:sz w:val="21"/>
                <w:szCs w:val="21"/>
              </w:rPr>
              <w:t>表顺序）</w:t>
            </w:r>
          </w:p>
        </w:tc>
        <w:tc>
          <w:tcPr>
            <w:tcW w:w="1512" w:type="dxa"/>
            <w:vAlign w:val="center"/>
          </w:tcPr>
          <w:p w14:paraId="57146632" w14:textId="77777777" w:rsidR="00A80F9D" w:rsidRDefault="00000000">
            <w:pPr>
              <w:spacing w:line="0" w:lineRule="atLeast"/>
              <w:jc w:val="center"/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  <w:t>年卷页码</w:t>
            </w:r>
          </w:p>
        </w:tc>
        <w:tc>
          <w:tcPr>
            <w:tcW w:w="739" w:type="dxa"/>
            <w:vAlign w:val="center"/>
          </w:tcPr>
          <w:p w14:paraId="44A174B0" w14:textId="77777777" w:rsidR="00A80F9D" w:rsidRDefault="00000000">
            <w:pPr>
              <w:spacing w:line="0" w:lineRule="atLeast"/>
              <w:jc w:val="center"/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b/>
                <w:bCs/>
                <w:spacing w:val="-20"/>
                <w:sz w:val="21"/>
                <w:szCs w:val="21"/>
              </w:rPr>
              <w:t>发表时间</w:t>
            </w:r>
          </w:p>
        </w:tc>
        <w:tc>
          <w:tcPr>
            <w:tcW w:w="955" w:type="dxa"/>
            <w:vAlign w:val="center"/>
          </w:tcPr>
          <w:p w14:paraId="2D74ADCC" w14:textId="77777777" w:rsidR="00A80F9D" w:rsidRDefault="00000000">
            <w:pPr>
              <w:adjustRightInd w:val="0"/>
              <w:snapToGrid w:val="0"/>
              <w:spacing w:line="0" w:lineRule="atLeast"/>
              <w:jc w:val="center"/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  <w:t>第一署名单位是否江西省内</w:t>
            </w:r>
          </w:p>
          <w:p w14:paraId="01066CB1" w14:textId="77777777" w:rsidR="00A80F9D" w:rsidRDefault="00000000">
            <w:pPr>
              <w:spacing w:line="0" w:lineRule="atLeast"/>
              <w:jc w:val="center"/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b/>
                <w:bCs/>
                <w:sz w:val="21"/>
                <w:szCs w:val="21"/>
              </w:rPr>
              <w:t>单位</w:t>
            </w:r>
          </w:p>
        </w:tc>
      </w:tr>
      <w:tr w:rsidR="00A80F9D" w14:paraId="115BF1D5" w14:textId="77777777">
        <w:tc>
          <w:tcPr>
            <w:tcW w:w="646" w:type="dxa"/>
          </w:tcPr>
          <w:p w14:paraId="6A45695C" w14:textId="77777777" w:rsidR="00A80F9D" w:rsidRDefault="00000000">
            <w:pPr>
              <w:spacing w:line="0" w:lineRule="atLeast"/>
              <w:jc w:val="center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233" w:type="dxa"/>
          </w:tcPr>
          <w:p w14:paraId="47525918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hyperlink r:id="rId4" w:tgtFrame="https://cwres.ncu.edu.cn/s/org/ams/mathscinet/G.https/mathscinet/_self" w:history="1">
              <w:r>
                <w:rPr>
                  <w:rFonts w:ascii="Times New Roman" w:eastAsia="华文仿宋" w:hAnsi="Times New Roman" w:cs="Times New Roman"/>
                  <w:sz w:val="21"/>
                  <w:szCs w:val="21"/>
                </w:rPr>
                <w:t>Maximum principles and monotonicity of solutions for fractional p-equations in unbounded domains</w:t>
              </w:r>
            </w:hyperlink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 xml:space="preserve">, 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Journal of Differential Equations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.</w:t>
            </w:r>
          </w:p>
          <w:p w14:paraId="6B84F29C" w14:textId="77777777" w:rsidR="00A80F9D" w:rsidRDefault="00A80F9D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</w:p>
        </w:tc>
        <w:tc>
          <w:tcPr>
            <w:tcW w:w="1211" w:type="dxa"/>
          </w:tcPr>
          <w:p w14:paraId="736405AC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proofErr w:type="gramStart"/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刘招</w:t>
            </w:r>
            <w:proofErr w:type="gramEnd"/>
          </w:p>
        </w:tc>
        <w:tc>
          <w:tcPr>
            <w:tcW w:w="1512" w:type="dxa"/>
          </w:tcPr>
          <w:p w14:paraId="5F3A9FC7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20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21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年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270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卷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1043–1078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页</w:t>
            </w:r>
          </w:p>
        </w:tc>
        <w:tc>
          <w:tcPr>
            <w:tcW w:w="739" w:type="dxa"/>
          </w:tcPr>
          <w:p w14:paraId="67107EB7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20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21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年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1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月</w:t>
            </w:r>
          </w:p>
        </w:tc>
        <w:tc>
          <w:tcPr>
            <w:tcW w:w="955" w:type="dxa"/>
          </w:tcPr>
          <w:p w14:paraId="7EDA221F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是</w:t>
            </w:r>
          </w:p>
        </w:tc>
      </w:tr>
      <w:tr w:rsidR="00A80F9D" w14:paraId="12C48B31" w14:textId="77777777">
        <w:tc>
          <w:tcPr>
            <w:tcW w:w="646" w:type="dxa"/>
          </w:tcPr>
          <w:p w14:paraId="0F592185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233" w:type="dxa"/>
          </w:tcPr>
          <w:p w14:paraId="69679413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hyperlink r:id="rId5" w:tgtFrame="https://cwres.ncu.edu.cn/s/org/ams/mathscinet/G.https/mathscinet/_self" w:history="1">
              <w:r>
                <w:rPr>
                  <w:rFonts w:ascii="Times New Roman" w:eastAsia="华文仿宋" w:hAnsi="Times New Roman" w:cs="Times New Roman"/>
                  <w:sz w:val="21"/>
                  <w:szCs w:val="21"/>
                </w:rPr>
                <w:t>Symmetry and monotonicity of positive solutions for an integral system with negative exponents</w:t>
              </w:r>
            </w:hyperlink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 xml:space="preserve">, 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Pacific Journal of Mathematics</w:t>
            </w:r>
          </w:p>
        </w:tc>
        <w:tc>
          <w:tcPr>
            <w:tcW w:w="1211" w:type="dxa"/>
          </w:tcPr>
          <w:p w14:paraId="45A895E9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proofErr w:type="gramStart"/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刘招</w:t>
            </w:r>
            <w:proofErr w:type="gramEnd"/>
          </w:p>
        </w:tc>
        <w:tc>
          <w:tcPr>
            <w:tcW w:w="1512" w:type="dxa"/>
          </w:tcPr>
          <w:p w14:paraId="6F8BF2E5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201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9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年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30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卷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419–430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页</w:t>
            </w:r>
          </w:p>
        </w:tc>
        <w:tc>
          <w:tcPr>
            <w:tcW w:w="739" w:type="dxa"/>
          </w:tcPr>
          <w:p w14:paraId="66F22091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201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9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年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6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月</w:t>
            </w:r>
          </w:p>
        </w:tc>
        <w:tc>
          <w:tcPr>
            <w:tcW w:w="955" w:type="dxa"/>
          </w:tcPr>
          <w:p w14:paraId="71D851BC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是</w:t>
            </w:r>
          </w:p>
        </w:tc>
      </w:tr>
      <w:tr w:rsidR="00A80F9D" w14:paraId="520990DF" w14:textId="77777777">
        <w:tc>
          <w:tcPr>
            <w:tcW w:w="646" w:type="dxa"/>
          </w:tcPr>
          <w:p w14:paraId="191C8DE0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233" w:type="dxa"/>
          </w:tcPr>
          <w:p w14:paraId="777B9141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hyperlink r:id="rId6" w:tgtFrame="https://cwres.ncu.edu.cn/s/org/ams/mathscinet/G.https/mathscinet/_self" w:history="1">
              <w:r>
                <w:rPr>
                  <w:rFonts w:ascii="Times New Roman" w:eastAsia="华文仿宋" w:hAnsi="Times New Roman" w:cs="Times New Roman"/>
                  <w:sz w:val="21"/>
                  <w:szCs w:val="21"/>
                </w:rPr>
                <w:t>Liouville type theorems for general integral system with negative exponents</w:t>
              </w:r>
            </w:hyperlink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 xml:space="preserve">, 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Taiwanese Journal of Mathematics</w:t>
            </w:r>
          </w:p>
        </w:tc>
        <w:tc>
          <w:tcPr>
            <w:tcW w:w="1211" w:type="dxa"/>
          </w:tcPr>
          <w:p w14:paraId="5A80645F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刘招，陈露，王徐敏</w:t>
            </w:r>
          </w:p>
        </w:tc>
        <w:tc>
          <w:tcPr>
            <w:tcW w:w="1512" w:type="dxa"/>
          </w:tcPr>
          <w:p w14:paraId="0A9770CC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201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8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年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22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卷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 xml:space="preserve"> 661–675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页</w:t>
            </w:r>
          </w:p>
        </w:tc>
        <w:tc>
          <w:tcPr>
            <w:tcW w:w="739" w:type="dxa"/>
          </w:tcPr>
          <w:p w14:paraId="6ECF053E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201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8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年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6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月</w:t>
            </w:r>
          </w:p>
        </w:tc>
        <w:tc>
          <w:tcPr>
            <w:tcW w:w="955" w:type="dxa"/>
          </w:tcPr>
          <w:p w14:paraId="17091223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是</w:t>
            </w:r>
          </w:p>
        </w:tc>
      </w:tr>
      <w:tr w:rsidR="00A80F9D" w14:paraId="6070EB33" w14:textId="77777777">
        <w:tc>
          <w:tcPr>
            <w:tcW w:w="646" w:type="dxa"/>
          </w:tcPr>
          <w:p w14:paraId="540791C7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233" w:type="dxa"/>
          </w:tcPr>
          <w:p w14:paraId="4170662B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hyperlink r:id="rId7" w:tgtFrame="https://cwres.ncu.edu.cn/s/org/ams/mathscinet/G.https/mathscinet/_self" w:history="1">
              <w:r>
                <w:rPr>
                  <w:rFonts w:ascii="Times New Roman" w:eastAsia="华文仿宋" w:hAnsi="Times New Roman" w:cs="Times New Roman"/>
                  <w:sz w:val="21"/>
                  <w:szCs w:val="21"/>
                </w:rPr>
                <w:t>Singular Moser-Trudinger inequality with the exact growth condition in Rn</w:t>
              </w:r>
            </w:hyperlink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 xml:space="preserve">, 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Mathematical Inequalities Applications</w:t>
            </w:r>
          </w:p>
        </w:tc>
        <w:tc>
          <w:tcPr>
            <w:tcW w:w="1211" w:type="dxa"/>
          </w:tcPr>
          <w:p w14:paraId="100C6886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刘招，陈露</w:t>
            </w:r>
          </w:p>
        </w:tc>
        <w:tc>
          <w:tcPr>
            <w:tcW w:w="1512" w:type="dxa"/>
          </w:tcPr>
          <w:p w14:paraId="47129B8B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20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17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年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20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卷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845–854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页</w:t>
            </w:r>
          </w:p>
        </w:tc>
        <w:tc>
          <w:tcPr>
            <w:tcW w:w="739" w:type="dxa"/>
          </w:tcPr>
          <w:p w14:paraId="2FE60C8C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201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7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年</w:t>
            </w:r>
            <w:r>
              <w:rPr>
                <w:rFonts w:ascii="Times New Roman" w:eastAsia="华文仿宋" w:hAnsi="Times New Roman" w:cs="Times New Roman" w:hint="eastAsia"/>
                <w:sz w:val="21"/>
                <w:szCs w:val="21"/>
              </w:rPr>
              <w:t>7</w:t>
            </w: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月</w:t>
            </w:r>
          </w:p>
        </w:tc>
        <w:tc>
          <w:tcPr>
            <w:tcW w:w="955" w:type="dxa"/>
          </w:tcPr>
          <w:p w14:paraId="277C23AA" w14:textId="77777777" w:rsidR="00A80F9D" w:rsidRDefault="00000000">
            <w:pPr>
              <w:spacing w:line="0" w:lineRule="atLeast"/>
              <w:rPr>
                <w:rFonts w:ascii="Times New Roman" w:eastAsia="华文仿宋" w:hAnsi="Times New Roman" w:cs="Times New Roman"/>
                <w:sz w:val="21"/>
                <w:szCs w:val="21"/>
              </w:rPr>
            </w:pPr>
            <w:r>
              <w:rPr>
                <w:rFonts w:ascii="Times New Roman" w:eastAsia="华文仿宋" w:hAnsi="Times New Roman" w:cs="Times New Roman"/>
                <w:sz w:val="21"/>
                <w:szCs w:val="21"/>
              </w:rPr>
              <w:t>是</w:t>
            </w:r>
          </w:p>
        </w:tc>
      </w:tr>
    </w:tbl>
    <w:p w14:paraId="1E7001A5" w14:textId="77777777" w:rsidR="00A80F9D" w:rsidRDefault="00000000">
      <w:pPr>
        <w:spacing w:beforeLines="50" w:before="156" w:afterLines="50" w:after="156" w:line="480" w:lineRule="exact"/>
        <w:jc w:val="both"/>
        <w:rPr>
          <w:rFonts w:ascii="Times New Roman" w:eastAsia="华文仿宋" w:hAnsi="Times New Roman" w:cs="Times New Roman"/>
          <w:b/>
        </w:rPr>
      </w:pPr>
      <w:r>
        <w:rPr>
          <w:rFonts w:ascii="Times New Roman" w:eastAsia="华文仿宋" w:hAnsi="Times New Roman" w:cs="Times New Roman" w:hint="eastAsia"/>
          <w:b/>
        </w:rPr>
        <w:t>主要完成人情况：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10"/>
        <w:gridCol w:w="774"/>
        <w:gridCol w:w="1161"/>
        <w:gridCol w:w="641"/>
        <w:gridCol w:w="1162"/>
        <w:gridCol w:w="1134"/>
        <w:gridCol w:w="2914"/>
      </w:tblGrid>
      <w:tr w:rsidR="00A80F9D" w14:paraId="070DD1DC" w14:textId="77777777">
        <w:tc>
          <w:tcPr>
            <w:tcW w:w="510" w:type="dxa"/>
            <w:vAlign w:val="center"/>
          </w:tcPr>
          <w:p w14:paraId="36365ECA" w14:textId="77777777" w:rsidR="00A80F9D" w:rsidRDefault="00000000">
            <w:pPr>
              <w:snapToGrid w:val="0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排名</w:t>
            </w:r>
          </w:p>
        </w:tc>
        <w:tc>
          <w:tcPr>
            <w:tcW w:w="774" w:type="dxa"/>
            <w:vAlign w:val="center"/>
          </w:tcPr>
          <w:p w14:paraId="2B33D559" w14:textId="77777777" w:rsidR="00A80F9D" w:rsidRDefault="00000000">
            <w:pPr>
              <w:snapToGrid w:val="0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姓名</w:t>
            </w:r>
          </w:p>
        </w:tc>
        <w:tc>
          <w:tcPr>
            <w:tcW w:w="1161" w:type="dxa"/>
            <w:vAlign w:val="center"/>
          </w:tcPr>
          <w:p w14:paraId="67E87E8E" w14:textId="77777777" w:rsidR="00A80F9D" w:rsidRDefault="00000000">
            <w:pPr>
              <w:snapToGrid w:val="0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职务</w:t>
            </w:r>
          </w:p>
        </w:tc>
        <w:tc>
          <w:tcPr>
            <w:tcW w:w="641" w:type="dxa"/>
            <w:vAlign w:val="center"/>
          </w:tcPr>
          <w:p w14:paraId="6D265253" w14:textId="77777777" w:rsidR="00A80F9D" w:rsidRDefault="00000000">
            <w:pPr>
              <w:snapToGrid w:val="0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职称</w:t>
            </w:r>
          </w:p>
        </w:tc>
        <w:tc>
          <w:tcPr>
            <w:tcW w:w="1162" w:type="dxa"/>
            <w:vAlign w:val="center"/>
          </w:tcPr>
          <w:p w14:paraId="34A9CD99" w14:textId="77777777" w:rsidR="00A80F9D" w:rsidRDefault="00000000">
            <w:pPr>
              <w:snapToGrid w:val="0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工作单位</w:t>
            </w:r>
          </w:p>
        </w:tc>
        <w:tc>
          <w:tcPr>
            <w:tcW w:w="1134" w:type="dxa"/>
            <w:vAlign w:val="center"/>
          </w:tcPr>
          <w:p w14:paraId="4C752677" w14:textId="77777777" w:rsidR="00A80F9D" w:rsidRDefault="00000000">
            <w:pPr>
              <w:snapToGrid w:val="0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完成单位</w:t>
            </w:r>
          </w:p>
        </w:tc>
        <w:tc>
          <w:tcPr>
            <w:tcW w:w="2914" w:type="dxa"/>
            <w:vAlign w:val="center"/>
          </w:tcPr>
          <w:p w14:paraId="42EB024E" w14:textId="77777777" w:rsidR="00A80F9D" w:rsidRDefault="00000000">
            <w:pPr>
              <w:snapToGrid w:val="0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对本项目贡献</w:t>
            </w:r>
          </w:p>
        </w:tc>
      </w:tr>
      <w:tr w:rsidR="00A80F9D" w14:paraId="5CE380EA" w14:textId="77777777">
        <w:tc>
          <w:tcPr>
            <w:tcW w:w="510" w:type="dxa"/>
            <w:vAlign w:val="center"/>
          </w:tcPr>
          <w:p w14:paraId="4009AB46" w14:textId="77777777" w:rsidR="00A80F9D" w:rsidRDefault="00000000">
            <w:pPr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1</w:t>
            </w:r>
          </w:p>
        </w:tc>
        <w:tc>
          <w:tcPr>
            <w:tcW w:w="774" w:type="dxa"/>
            <w:vAlign w:val="center"/>
          </w:tcPr>
          <w:p w14:paraId="1B964D8A" w14:textId="77777777" w:rsidR="00A80F9D" w:rsidRDefault="00000000">
            <w:pPr>
              <w:jc w:val="center"/>
              <w:rPr>
                <w:rFonts w:hint="eastAsia"/>
                <w:bCs/>
                <w:sz w:val="21"/>
                <w:szCs w:val="21"/>
              </w:rPr>
            </w:pPr>
            <w:proofErr w:type="gramStart"/>
            <w:r>
              <w:rPr>
                <w:rFonts w:hint="eastAsia"/>
                <w:bCs/>
                <w:sz w:val="21"/>
                <w:szCs w:val="21"/>
              </w:rPr>
              <w:t>刘招</w:t>
            </w:r>
            <w:proofErr w:type="gramEnd"/>
          </w:p>
        </w:tc>
        <w:tc>
          <w:tcPr>
            <w:tcW w:w="1161" w:type="dxa"/>
            <w:vAlign w:val="center"/>
          </w:tcPr>
          <w:p w14:paraId="1D7D3895" w14:textId="77777777" w:rsidR="00A80F9D" w:rsidRDefault="00000000">
            <w:pPr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副院长</w:t>
            </w:r>
            <w:r>
              <w:rPr>
                <w:bCs/>
                <w:sz w:val="21"/>
                <w:szCs w:val="21"/>
              </w:rPr>
              <w:br/>
            </w:r>
            <w:r>
              <w:rPr>
                <w:rFonts w:hint="eastAsia"/>
                <w:bCs/>
                <w:sz w:val="21"/>
                <w:szCs w:val="21"/>
              </w:rPr>
              <w:t>（主持工作）</w:t>
            </w:r>
          </w:p>
        </w:tc>
        <w:tc>
          <w:tcPr>
            <w:tcW w:w="641" w:type="dxa"/>
            <w:vAlign w:val="center"/>
          </w:tcPr>
          <w:p w14:paraId="3D60F558" w14:textId="77777777" w:rsidR="00A80F9D" w:rsidRDefault="00000000">
            <w:pPr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教授</w:t>
            </w:r>
          </w:p>
        </w:tc>
        <w:tc>
          <w:tcPr>
            <w:tcW w:w="1162" w:type="dxa"/>
            <w:vAlign w:val="center"/>
          </w:tcPr>
          <w:p w14:paraId="3BFDB84B" w14:textId="77777777" w:rsidR="00A80F9D" w:rsidRDefault="00000000">
            <w:pPr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江西科技师范大学</w:t>
            </w:r>
          </w:p>
        </w:tc>
        <w:tc>
          <w:tcPr>
            <w:tcW w:w="1134" w:type="dxa"/>
            <w:vAlign w:val="center"/>
          </w:tcPr>
          <w:p w14:paraId="65A1C5E5" w14:textId="77777777" w:rsidR="00A80F9D" w:rsidRDefault="00000000">
            <w:pPr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江西科技师范大学</w:t>
            </w:r>
          </w:p>
        </w:tc>
        <w:tc>
          <w:tcPr>
            <w:tcW w:w="2914" w:type="dxa"/>
            <w:vAlign w:val="center"/>
          </w:tcPr>
          <w:p w14:paraId="2999B402" w14:textId="77777777" w:rsidR="00A80F9D" w:rsidRDefault="00000000">
            <w:pPr>
              <w:jc w:val="center"/>
              <w:rPr>
                <w:rFonts w:hint="eastAsia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项目负责人</w:t>
            </w:r>
          </w:p>
        </w:tc>
      </w:tr>
    </w:tbl>
    <w:p w14:paraId="1FE2F166" w14:textId="77777777" w:rsidR="00A80F9D" w:rsidRDefault="00000000">
      <w:pPr>
        <w:spacing w:beforeLines="50" w:before="156" w:afterLines="50" w:after="156" w:line="480" w:lineRule="exact"/>
        <w:jc w:val="both"/>
        <w:rPr>
          <w:rFonts w:ascii="Times New Roman" w:eastAsia="华文仿宋" w:hAnsi="Times New Roman" w:cs="Times New Roman"/>
          <w:b/>
        </w:rPr>
      </w:pPr>
      <w:r>
        <w:rPr>
          <w:rFonts w:ascii="Times New Roman" w:eastAsia="华文仿宋" w:hAnsi="Times New Roman" w:cs="Times New Roman" w:hint="eastAsia"/>
          <w:b/>
        </w:rPr>
        <w:t>完成单位情况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62"/>
        <w:gridCol w:w="1276"/>
        <w:gridCol w:w="6458"/>
      </w:tblGrid>
      <w:tr w:rsidR="00A80F9D" w14:paraId="107AD7E4" w14:textId="77777777">
        <w:tc>
          <w:tcPr>
            <w:tcW w:w="562" w:type="dxa"/>
            <w:vAlign w:val="center"/>
          </w:tcPr>
          <w:p w14:paraId="60539FEF" w14:textId="77777777" w:rsidR="00A80F9D" w:rsidRDefault="00000000">
            <w:pPr>
              <w:snapToGrid w:val="0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排名</w:t>
            </w:r>
          </w:p>
        </w:tc>
        <w:tc>
          <w:tcPr>
            <w:tcW w:w="1276" w:type="dxa"/>
            <w:vAlign w:val="center"/>
          </w:tcPr>
          <w:p w14:paraId="032B716A" w14:textId="77777777" w:rsidR="00A80F9D" w:rsidRDefault="00000000">
            <w:pPr>
              <w:snapToGrid w:val="0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完成单位</w:t>
            </w:r>
          </w:p>
        </w:tc>
        <w:tc>
          <w:tcPr>
            <w:tcW w:w="6458" w:type="dxa"/>
            <w:vAlign w:val="center"/>
          </w:tcPr>
          <w:p w14:paraId="34AA9DF7" w14:textId="77777777" w:rsidR="00A80F9D" w:rsidRDefault="00000000">
            <w:pPr>
              <w:snapToGrid w:val="0"/>
              <w:jc w:val="center"/>
              <w:outlineLvl w:val="1"/>
              <w:rPr>
                <w:rFonts w:ascii="仿宋" w:eastAsia="仿宋" w:hAnsi="仿宋" w:cs="仿宋_GB2312" w:hint="eastAsia"/>
                <w:b/>
                <w:bCs/>
                <w:szCs w:val="21"/>
              </w:rPr>
            </w:pPr>
            <w:r>
              <w:rPr>
                <w:rFonts w:ascii="仿宋" w:eastAsia="仿宋" w:hAnsi="仿宋" w:cs="仿宋_GB2312" w:hint="eastAsia"/>
                <w:b/>
                <w:bCs/>
                <w:szCs w:val="21"/>
              </w:rPr>
              <w:t>对本项目的贡献</w:t>
            </w:r>
          </w:p>
        </w:tc>
      </w:tr>
      <w:tr w:rsidR="00A80F9D" w14:paraId="340E93E5" w14:textId="77777777">
        <w:tc>
          <w:tcPr>
            <w:tcW w:w="562" w:type="dxa"/>
            <w:vAlign w:val="center"/>
          </w:tcPr>
          <w:p w14:paraId="53B8F110" w14:textId="77777777" w:rsidR="00A80F9D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7904C53B" w14:textId="77777777" w:rsidR="00A80F9D" w:rsidRDefault="00000000">
            <w:pPr>
              <w:snapToGrid w:val="0"/>
              <w:spacing w:beforeLines="50" w:before="156" w:afterLines="50" w:after="156"/>
              <w:jc w:val="center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江西科技师范大学</w:t>
            </w:r>
          </w:p>
        </w:tc>
        <w:tc>
          <w:tcPr>
            <w:tcW w:w="6458" w:type="dxa"/>
            <w:vAlign w:val="center"/>
          </w:tcPr>
          <w:p w14:paraId="470F6125" w14:textId="77777777" w:rsidR="00A80F9D" w:rsidRDefault="00000000">
            <w:pPr>
              <w:snapToGrid w:val="0"/>
              <w:spacing w:beforeLines="50" w:before="156" w:afterLines="50" w:after="156"/>
              <w:jc w:val="both"/>
              <w:outlineLvl w:val="1"/>
              <w:rPr>
                <w:rFonts w:ascii="仿宋" w:eastAsia="仿宋" w:hAnsi="仿宋" w:cs="仿宋_GB2312" w:hint="eastAsia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</w:rPr>
              <w:t>在本项目的研究过程中，提供技术、经费、设备、场地和人员等条件，对项目的研究起到重要的组织、管理和协调作用。</w:t>
            </w:r>
          </w:p>
        </w:tc>
      </w:tr>
    </w:tbl>
    <w:p w14:paraId="41E1E658" w14:textId="77777777" w:rsidR="00A80F9D" w:rsidRDefault="00A80F9D">
      <w:pPr>
        <w:rPr>
          <w:rFonts w:ascii="Times New Roman" w:eastAsia="仿宋_GB2312" w:hAnsi="Times New Roman" w:cs="Times New Roman"/>
          <w:sz w:val="21"/>
          <w:szCs w:val="21"/>
        </w:rPr>
      </w:pPr>
    </w:p>
    <w:sectPr w:rsidR="00A80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D13"/>
    <w:rsid w:val="000010A0"/>
    <w:rsid w:val="000B291F"/>
    <w:rsid w:val="000D01EB"/>
    <w:rsid w:val="000D15FE"/>
    <w:rsid w:val="000D3687"/>
    <w:rsid w:val="000E4556"/>
    <w:rsid w:val="000F2197"/>
    <w:rsid w:val="001051A5"/>
    <w:rsid w:val="00106A79"/>
    <w:rsid w:val="0018332C"/>
    <w:rsid w:val="001C039F"/>
    <w:rsid w:val="001E3AF1"/>
    <w:rsid w:val="00304FB1"/>
    <w:rsid w:val="003B10CF"/>
    <w:rsid w:val="00400901"/>
    <w:rsid w:val="00404C23"/>
    <w:rsid w:val="004410B7"/>
    <w:rsid w:val="00446B2C"/>
    <w:rsid w:val="00471A7D"/>
    <w:rsid w:val="004A6986"/>
    <w:rsid w:val="004C2A19"/>
    <w:rsid w:val="004E25FC"/>
    <w:rsid w:val="005A63B1"/>
    <w:rsid w:val="005A7D13"/>
    <w:rsid w:val="005D7EA3"/>
    <w:rsid w:val="00644ED6"/>
    <w:rsid w:val="0067370C"/>
    <w:rsid w:val="006B0390"/>
    <w:rsid w:val="007048B9"/>
    <w:rsid w:val="007109B6"/>
    <w:rsid w:val="007628E4"/>
    <w:rsid w:val="007C7C6C"/>
    <w:rsid w:val="00800FF0"/>
    <w:rsid w:val="00804A14"/>
    <w:rsid w:val="00854706"/>
    <w:rsid w:val="008552F1"/>
    <w:rsid w:val="008630CC"/>
    <w:rsid w:val="00867952"/>
    <w:rsid w:val="009161AF"/>
    <w:rsid w:val="00945C10"/>
    <w:rsid w:val="00962AFD"/>
    <w:rsid w:val="00993491"/>
    <w:rsid w:val="00A241C6"/>
    <w:rsid w:val="00A306CB"/>
    <w:rsid w:val="00A35EF8"/>
    <w:rsid w:val="00A504A0"/>
    <w:rsid w:val="00A617E1"/>
    <w:rsid w:val="00A80F9D"/>
    <w:rsid w:val="00B37E0B"/>
    <w:rsid w:val="00B44627"/>
    <w:rsid w:val="00C02069"/>
    <w:rsid w:val="00C57861"/>
    <w:rsid w:val="00C63789"/>
    <w:rsid w:val="00C75672"/>
    <w:rsid w:val="00C90C53"/>
    <w:rsid w:val="00D106A1"/>
    <w:rsid w:val="00D315BA"/>
    <w:rsid w:val="00DA732E"/>
    <w:rsid w:val="00DB79A5"/>
    <w:rsid w:val="00E10A13"/>
    <w:rsid w:val="00E3575D"/>
    <w:rsid w:val="00E41E33"/>
    <w:rsid w:val="00ED0584"/>
    <w:rsid w:val="00EF3382"/>
    <w:rsid w:val="00FA7C64"/>
    <w:rsid w:val="00FB01E0"/>
    <w:rsid w:val="00FC1F91"/>
    <w:rsid w:val="00FF1F12"/>
    <w:rsid w:val="01853E11"/>
    <w:rsid w:val="01A93FA3"/>
    <w:rsid w:val="0462668B"/>
    <w:rsid w:val="09C62FAC"/>
    <w:rsid w:val="10A24A68"/>
    <w:rsid w:val="13541895"/>
    <w:rsid w:val="159F5A5E"/>
    <w:rsid w:val="17E87ABC"/>
    <w:rsid w:val="19471460"/>
    <w:rsid w:val="1D3D3A85"/>
    <w:rsid w:val="22D402FC"/>
    <w:rsid w:val="258B3F5A"/>
    <w:rsid w:val="273A72C8"/>
    <w:rsid w:val="2C351E0C"/>
    <w:rsid w:val="2C4D3B64"/>
    <w:rsid w:val="2FA07EE4"/>
    <w:rsid w:val="315E1E05"/>
    <w:rsid w:val="34E15227"/>
    <w:rsid w:val="36E7464B"/>
    <w:rsid w:val="36E81317"/>
    <w:rsid w:val="39C55CFE"/>
    <w:rsid w:val="3CF4217B"/>
    <w:rsid w:val="3E1C6CCE"/>
    <w:rsid w:val="40095632"/>
    <w:rsid w:val="469A5235"/>
    <w:rsid w:val="48856DC7"/>
    <w:rsid w:val="499C3073"/>
    <w:rsid w:val="4C8F6F19"/>
    <w:rsid w:val="4CBD3CF8"/>
    <w:rsid w:val="4E8862BB"/>
    <w:rsid w:val="53994B7A"/>
    <w:rsid w:val="54297FDC"/>
    <w:rsid w:val="545F7ABE"/>
    <w:rsid w:val="56A33C92"/>
    <w:rsid w:val="5BC23C48"/>
    <w:rsid w:val="5D2378DB"/>
    <w:rsid w:val="60433DF0"/>
    <w:rsid w:val="64133696"/>
    <w:rsid w:val="64BD6867"/>
    <w:rsid w:val="6B8E5CAD"/>
    <w:rsid w:val="6CC55BDF"/>
    <w:rsid w:val="6E993BD3"/>
    <w:rsid w:val="72A93F87"/>
    <w:rsid w:val="774424D0"/>
    <w:rsid w:val="7A2465E9"/>
    <w:rsid w:val="7AE326EB"/>
    <w:rsid w:val="7F47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5A74A"/>
  <w15:docId w15:val="{B390F580-525B-4ECC-A991-8CDCE0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table" w:styleId="a8">
    <w:name w:val="Table Grid"/>
    <w:basedOn w:val="a1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  <w:rPr>
      <w:rFonts w:ascii="Times New Roman" w:hAnsi="Times New Roman" w:cs="Times New Roman"/>
    </w:rPr>
  </w:style>
  <w:style w:type="character" w:customStyle="1" w:styleId="a6">
    <w:name w:val="页眉 字符"/>
    <w:basedOn w:val="a0"/>
    <w:link w:val="a5"/>
    <w:uiPriority w:val="99"/>
    <w:qFormat/>
    <w:rPr>
      <w:rFonts w:ascii="宋体" w:hAnsi="宋体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宋体" w:hAnsi="宋体" w:cs="宋体"/>
      <w:sz w:val="18"/>
      <w:szCs w:val="18"/>
    </w:rPr>
  </w:style>
  <w:style w:type="paragraph" w:styleId="aa">
    <w:name w:val="Revision"/>
    <w:hidden/>
    <w:uiPriority w:val="99"/>
    <w:unhideWhenUsed/>
    <w:rsid w:val="00ED0584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wres.ncu.edu.cn/s/org/ams/mathscinet/G.https/mathscinet/article?mr=36539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wres.ncu.edu.cn/s/org/ams/mathscinet/G.https/mathscinet/article?mr=3807331" TargetMode="External"/><Relationship Id="rId5" Type="http://schemas.openxmlformats.org/officeDocument/2006/relationships/hyperlink" Target="https://cwres.ncu.edu.cn/s/org/ams/mathscinet/G.https/mathscinet/article?mr=3990814" TargetMode="External"/><Relationship Id="rId4" Type="http://schemas.openxmlformats.org/officeDocument/2006/relationships/hyperlink" Target="https://cwres.ncu.edu.cn/s/org/ams/mathscinet/G.https/mathscinet/article?mr=415223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398</Words>
  <Characters>2272</Characters>
  <Application>Microsoft Office Word</Application>
  <DocSecurity>0</DocSecurity>
  <Lines>18</Lines>
  <Paragraphs>5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songxr2015@163.com</dc:creator>
  <cp:lastModifiedBy>yu mao</cp:lastModifiedBy>
  <cp:revision>7</cp:revision>
  <dcterms:created xsi:type="dcterms:W3CDTF">2024-12-10T03:12:00Z</dcterms:created>
  <dcterms:modified xsi:type="dcterms:W3CDTF">2024-12-15T12:30:00Z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C699AE092E0240B1869BE977E80F0E2B_12</vt:lpwstr>
  </property>
</Properties>
</file>