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268CEB" w14:textId="77777777" w:rsidR="008466C1" w:rsidRDefault="00000000">
      <w:pPr>
        <w:pStyle w:val="a8"/>
        <w:widowControl/>
        <w:shd w:val="clear" w:color="auto" w:fill="FFFFFF"/>
        <w:spacing w:beforeAutospacing="0" w:afterAutospacing="0" w:line="480" w:lineRule="exact"/>
        <w:jc w:val="both"/>
        <w:rPr>
          <w:rFonts w:ascii="华文仿宋" w:eastAsia="华文仿宋" w:hAnsi="华文仿宋" w:hint="eastAsia"/>
          <w:kern w:val="2"/>
          <w:szCs w:val="24"/>
        </w:rPr>
      </w:pPr>
      <w:r>
        <w:rPr>
          <w:rFonts w:ascii="华文仿宋" w:eastAsia="华文仿宋" w:hAnsi="华文仿宋"/>
          <w:b/>
          <w:bCs/>
          <w:kern w:val="2"/>
          <w:szCs w:val="24"/>
        </w:rPr>
        <w:t>项目名称：</w:t>
      </w:r>
      <w:r>
        <w:rPr>
          <w:rFonts w:ascii="华文仿宋" w:eastAsia="华文仿宋" w:hAnsi="华文仿宋"/>
          <w:kern w:val="2"/>
          <w:szCs w:val="24"/>
        </w:rPr>
        <w:t>虫草素的神经系统兴奋性调控与</w:t>
      </w:r>
      <w:proofErr w:type="gramStart"/>
      <w:r>
        <w:rPr>
          <w:rFonts w:ascii="华文仿宋" w:eastAsia="华文仿宋" w:hAnsi="华文仿宋"/>
          <w:kern w:val="2"/>
          <w:szCs w:val="24"/>
        </w:rPr>
        <w:t>脑保护</w:t>
      </w:r>
      <w:proofErr w:type="gramEnd"/>
      <w:r>
        <w:rPr>
          <w:rFonts w:ascii="华文仿宋" w:eastAsia="华文仿宋" w:hAnsi="华文仿宋"/>
          <w:kern w:val="2"/>
          <w:szCs w:val="24"/>
        </w:rPr>
        <w:t>作用研究</w:t>
      </w:r>
    </w:p>
    <w:p w14:paraId="105AB831" w14:textId="77777777" w:rsidR="008466C1" w:rsidRDefault="00000000">
      <w:pPr>
        <w:pStyle w:val="a8"/>
        <w:widowControl/>
        <w:shd w:val="clear" w:color="auto" w:fill="FFFFFF"/>
        <w:spacing w:beforeAutospacing="0" w:afterAutospacing="0" w:line="480" w:lineRule="exact"/>
        <w:jc w:val="both"/>
        <w:rPr>
          <w:rFonts w:ascii="华文仿宋" w:eastAsia="华文仿宋" w:hAnsi="华文仿宋" w:hint="eastAsia"/>
          <w:kern w:val="2"/>
          <w:szCs w:val="24"/>
        </w:rPr>
      </w:pPr>
      <w:r>
        <w:rPr>
          <w:rFonts w:ascii="华文仿宋" w:eastAsia="华文仿宋" w:hAnsi="华文仿宋"/>
          <w:b/>
          <w:bCs/>
          <w:kern w:val="2"/>
          <w:szCs w:val="24"/>
        </w:rPr>
        <w:t>提名者：</w:t>
      </w:r>
      <w:r>
        <w:rPr>
          <w:rFonts w:ascii="华文仿宋" w:eastAsia="华文仿宋" w:hAnsi="华文仿宋"/>
          <w:kern w:val="2"/>
          <w:szCs w:val="24"/>
        </w:rPr>
        <w:t>江西省教育厅</w:t>
      </w:r>
    </w:p>
    <w:p w14:paraId="43893B59" w14:textId="77777777" w:rsidR="008466C1" w:rsidRDefault="00000000">
      <w:pPr>
        <w:pStyle w:val="a8"/>
        <w:widowControl/>
        <w:shd w:val="clear" w:color="auto" w:fill="FFFFFF"/>
        <w:spacing w:beforeAutospacing="0" w:afterAutospacing="0" w:line="480" w:lineRule="exact"/>
        <w:jc w:val="both"/>
        <w:rPr>
          <w:rFonts w:ascii="华文仿宋" w:eastAsia="华文仿宋" w:hAnsi="华文仿宋" w:hint="eastAsia"/>
          <w:b/>
          <w:bCs/>
          <w:kern w:val="2"/>
          <w:szCs w:val="24"/>
        </w:rPr>
      </w:pPr>
      <w:r>
        <w:rPr>
          <w:rFonts w:ascii="华文仿宋" w:eastAsia="华文仿宋" w:hAnsi="华文仿宋"/>
          <w:b/>
          <w:bCs/>
          <w:kern w:val="2"/>
          <w:szCs w:val="24"/>
        </w:rPr>
        <w:t>提名意见：</w:t>
      </w:r>
    </w:p>
    <w:p w14:paraId="360FEDBE" w14:textId="77777777" w:rsidR="008466C1" w:rsidRDefault="00000000">
      <w:pPr>
        <w:pStyle w:val="a8"/>
        <w:widowControl/>
        <w:shd w:val="clear" w:color="auto" w:fill="FFFFFF"/>
        <w:spacing w:beforeAutospacing="0" w:afterAutospacing="0" w:line="480" w:lineRule="exact"/>
        <w:ind w:firstLineChars="200" w:firstLine="480"/>
        <w:jc w:val="both"/>
        <w:rPr>
          <w:rFonts w:ascii="华文仿宋" w:eastAsia="华文仿宋" w:hAnsi="华文仿宋" w:hint="eastAsia"/>
          <w:kern w:val="2"/>
          <w:szCs w:val="24"/>
        </w:rPr>
      </w:pPr>
      <w:r>
        <w:rPr>
          <w:rFonts w:ascii="华文仿宋" w:eastAsia="华文仿宋" w:hAnsi="华文仿宋"/>
          <w:kern w:val="2"/>
          <w:szCs w:val="24"/>
        </w:rPr>
        <w:t>该项目基于脑卒中、AD等病症的病因病理学基础上，结合虫草素兴奋性神经调控这一药理学作用，从动物行为学、电生理学等不同技术角度研究了虫草素兴奋性神经调控作用与</w:t>
      </w:r>
      <w:proofErr w:type="gramStart"/>
      <w:r>
        <w:rPr>
          <w:rFonts w:ascii="华文仿宋" w:eastAsia="华文仿宋" w:hAnsi="华文仿宋"/>
          <w:kern w:val="2"/>
          <w:szCs w:val="24"/>
        </w:rPr>
        <w:t>脑保护</w:t>
      </w:r>
      <w:proofErr w:type="gramEnd"/>
      <w:r>
        <w:rPr>
          <w:rFonts w:ascii="华文仿宋" w:eastAsia="华文仿宋" w:hAnsi="华文仿宋"/>
          <w:kern w:val="2"/>
          <w:szCs w:val="24"/>
        </w:rPr>
        <w:t>作用。项目所取得结果表明虫草素对脑卒中、AD等病症的保护作用与其调控神经系统兴奋性直接相关，深层药理学作用机制涉及内源性腺苷A1受体激活。研究结果为虫草素在脑内众多疾病及损伤特别是脑卒中及神经退行性疾病的防治提供了直接的理论和实验依据。相关成果发表在</w:t>
      </w:r>
      <w:proofErr w:type="spellStart"/>
      <w:r>
        <w:rPr>
          <w:rFonts w:ascii="华文仿宋" w:eastAsia="华文仿宋" w:hAnsi="华文仿宋"/>
          <w:kern w:val="2"/>
          <w:szCs w:val="24"/>
        </w:rPr>
        <w:t>Eur</w:t>
      </w:r>
      <w:proofErr w:type="spellEnd"/>
      <w:r>
        <w:rPr>
          <w:rFonts w:ascii="华文仿宋" w:eastAsia="华文仿宋" w:hAnsi="华文仿宋"/>
          <w:kern w:val="2"/>
          <w:szCs w:val="24"/>
        </w:rPr>
        <w:t xml:space="preserve"> J </w:t>
      </w:r>
      <w:proofErr w:type="spellStart"/>
      <w:r>
        <w:rPr>
          <w:rFonts w:ascii="华文仿宋" w:eastAsia="华文仿宋" w:hAnsi="华文仿宋"/>
          <w:kern w:val="2"/>
          <w:szCs w:val="24"/>
        </w:rPr>
        <w:t>Pharmacol</w:t>
      </w:r>
      <w:proofErr w:type="spellEnd"/>
      <w:r>
        <w:rPr>
          <w:rFonts w:ascii="华文仿宋" w:eastAsia="华文仿宋" w:hAnsi="华文仿宋"/>
          <w:kern w:val="2"/>
          <w:szCs w:val="24"/>
        </w:rPr>
        <w:t>等医药学领域知名期刊上, 并且依托该项目成果，指导学生参加全国大学生创新创业大赛，取得了江西省省级金奖（亚军）（2018 年）、全国总决赛铜奖（2018 年），展现了项目成果突出的潜在临床转化价值。</w:t>
      </w:r>
    </w:p>
    <w:p w14:paraId="5C4BB702" w14:textId="77777777" w:rsidR="008466C1" w:rsidRDefault="00000000">
      <w:pPr>
        <w:pStyle w:val="a8"/>
        <w:widowControl/>
        <w:shd w:val="clear" w:color="auto" w:fill="FFFFFF"/>
        <w:spacing w:beforeAutospacing="0" w:afterAutospacing="0" w:line="480" w:lineRule="exact"/>
        <w:jc w:val="both"/>
        <w:rPr>
          <w:rFonts w:ascii="华文仿宋" w:eastAsia="华文仿宋" w:hAnsi="华文仿宋" w:hint="eastAsia"/>
          <w:szCs w:val="24"/>
        </w:rPr>
      </w:pPr>
      <w:r>
        <w:rPr>
          <w:rFonts w:ascii="华文仿宋" w:eastAsia="华文仿宋" w:hAnsi="华文仿宋"/>
          <w:b/>
          <w:bCs/>
          <w:kern w:val="2"/>
          <w:szCs w:val="24"/>
        </w:rPr>
        <w:t>提名等级：</w:t>
      </w:r>
      <w:r>
        <w:rPr>
          <w:rFonts w:ascii="华文仿宋" w:eastAsia="华文仿宋" w:hAnsi="华文仿宋"/>
          <w:szCs w:val="24"/>
        </w:rPr>
        <w:t>江西省自然科学</w:t>
      </w:r>
      <w:r>
        <w:rPr>
          <w:rFonts w:ascii="华文仿宋" w:eastAsia="华文仿宋" w:hAnsi="华文仿宋" w:hint="eastAsia"/>
          <w:szCs w:val="24"/>
        </w:rPr>
        <w:t>奖</w:t>
      </w:r>
      <w:r>
        <w:rPr>
          <w:rFonts w:ascii="华文仿宋" w:eastAsia="华文仿宋" w:hAnsi="华文仿宋"/>
          <w:szCs w:val="24"/>
        </w:rPr>
        <w:t>一等奖</w:t>
      </w:r>
    </w:p>
    <w:p w14:paraId="235A91E9" w14:textId="77777777" w:rsidR="008466C1" w:rsidRDefault="00000000">
      <w:pPr>
        <w:pStyle w:val="a8"/>
        <w:widowControl/>
        <w:shd w:val="clear" w:color="auto" w:fill="FFFFFF"/>
        <w:spacing w:beforeAutospacing="0" w:afterAutospacing="0" w:line="480" w:lineRule="exact"/>
        <w:jc w:val="both"/>
        <w:rPr>
          <w:rFonts w:ascii="华文仿宋" w:eastAsia="华文仿宋" w:hAnsi="华文仿宋" w:hint="eastAsia"/>
          <w:b/>
          <w:bCs/>
          <w:kern w:val="2"/>
          <w:szCs w:val="24"/>
        </w:rPr>
      </w:pPr>
      <w:r>
        <w:rPr>
          <w:rFonts w:ascii="华文仿宋" w:eastAsia="华文仿宋" w:hAnsi="华文仿宋"/>
          <w:b/>
          <w:bCs/>
          <w:kern w:val="2"/>
          <w:szCs w:val="24"/>
        </w:rPr>
        <w:t>项目简介：</w:t>
      </w:r>
    </w:p>
    <w:p w14:paraId="5DC512BA" w14:textId="77777777" w:rsidR="008466C1" w:rsidRDefault="00000000">
      <w:pPr>
        <w:pStyle w:val="a8"/>
        <w:widowControl/>
        <w:shd w:val="clear" w:color="auto" w:fill="FFFFFF"/>
        <w:spacing w:beforeAutospacing="0" w:afterAutospacing="0" w:line="480" w:lineRule="exact"/>
        <w:ind w:firstLineChars="200" w:firstLine="480"/>
        <w:jc w:val="both"/>
        <w:rPr>
          <w:rFonts w:ascii="华文仿宋" w:eastAsia="华文仿宋" w:hAnsi="华文仿宋" w:hint="eastAsia"/>
          <w:szCs w:val="24"/>
        </w:rPr>
      </w:pPr>
      <w:r>
        <w:rPr>
          <w:rFonts w:ascii="华文仿宋" w:eastAsia="华文仿宋" w:hAnsi="华文仿宋"/>
          <w:kern w:val="2"/>
          <w:szCs w:val="24"/>
        </w:rPr>
        <w:t>1. 所属科学技术领域：</w:t>
      </w:r>
      <w:r>
        <w:rPr>
          <w:rFonts w:ascii="华文仿宋" w:eastAsia="华文仿宋" w:hAnsi="华文仿宋"/>
          <w:szCs w:val="24"/>
        </w:rPr>
        <w:t>中药药理学</w:t>
      </w:r>
    </w:p>
    <w:p w14:paraId="74FF7958" w14:textId="77777777" w:rsidR="008466C1" w:rsidRDefault="00000000">
      <w:pPr>
        <w:spacing w:line="480" w:lineRule="exact"/>
        <w:ind w:firstLineChars="200" w:firstLine="480"/>
        <w:rPr>
          <w:rFonts w:ascii="华文仿宋" w:eastAsia="华文仿宋" w:hAnsi="华文仿宋" w:hint="eastAsia"/>
          <w:sz w:val="24"/>
          <w:szCs w:val="24"/>
        </w:rPr>
      </w:pPr>
      <w:r>
        <w:rPr>
          <w:rFonts w:ascii="华文仿宋" w:eastAsia="华文仿宋" w:hAnsi="华文仿宋" w:hint="eastAsia"/>
          <w:sz w:val="24"/>
          <w:szCs w:val="24"/>
        </w:rPr>
        <w:t>2．</w:t>
      </w:r>
      <w:r>
        <w:rPr>
          <w:rFonts w:ascii="华文仿宋" w:eastAsia="华文仿宋" w:hAnsi="华文仿宋"/>
          <w:sz w:val="24"/>
          <w:szCs w:val="24"/>
        </w:rPr>
        <w:t>主要研究内容</w:t>
      </w:r>
    </w:p>
    <w:p w14:paraId="6FF7B4A0" w14:textId="77777777" w:rsidR="008466C1" w:rsidRDefault="00000000">
      <w:pPr>
        <w:spacing w:line="480" w:lineRule="exact"/>
        <w:ind w:firstLineChars="200" w:firstLine="480"/>
        <w:rPr>
          <w:rFonts w:ascii="华文仿宋" w:eastAsia="华文仿宋" w:hAnsi="华文仿宋" w:hint="eastAsia"/>
          <w:sz w:val="24"/>
          <w:szCs w:val="24"/>
        </w:rPr>
      </w:pPr>
      <w:r>
        <w:rPr>
          <w:rFonts w:ascii="华文仿宋" w:eastAsia="华文仿宋" w:hAnsi="华文仿宋"/>
          <w:sz w:val="24"/>
          <w:szCs w:val="24"/>
        </w:rPr>
        <w:t>神经系统过度兴奋性所导致的一系列原发性或继发性细胞损伤效应是脑内众多疾病及损伤特别是脑卒中及神经退行性疾病的共同病理学过程。因此，该项目主要基于脑卒中、AD等病症的共同病因病理学基础上，结合虫草素兴奋性神经调控这一药理学作用，从动物行为学、电生理学、分子生物学等不同技术角度系统的研究了虫草素的兴奋性神经调控作用与</w:t>
      </w:r>
      <w:proofErr w:type="gramStart"/>
      <w:r>
        <w:rPr>
          <w:rFonts w:ascii="华文仿宋" w:eastAsia="华文仿宋" w:hAnsi="华文仿宋"/>
          <w:sz w:val="24"/>
          <w:szCs w:val="24"/>
        </w:rPr>
        <w:t>脑保护</w:t>
      </w:r>
      <w:proofErr w:type="gramEnd"/>
      <w:r>
        <w:rPr>
          <w:rFonts w:ascii="华文仿宋" w:eastAsia="华文仿宋" w:hAnsi="华文仿宋"/>
          <w:sz w:val="24"/>
          <w:szCs w:val="24"/>
        </w:rPr>
        <w:t>作用，并对虫草素的内源性受体作用机制也进行了深入探索。</w:t>
      </w:r>
    </w:p>
    <w:p w14:paraId="3736F88E" w14:textId="77777777" w:rsidR="008466C1" w:rsidRDefault="00000000">
      <w:pPr>
        <w:numPr>
          <w:ilvl w:val="0"/>
          <w:numId w:val="1"/>
        </w:numPr>
        <w:spacing w:line="480" w:lineRule="exact"/>
        <w:ind w:firstLineChars="200" w:firstLine="480"/>
        <w:rPr>
          <w:rFonts w:ascii="华文仿宋" w:eastAsia="华文仿宋" w:hAnsi="华文仿宋" w:hint="eastAsia"/>
          <w:sz w:val="24"/>
          <w:szCs w:val="24"/>
        </w:rPr>
      </w:pPr>
      <w:r>
        <w:rPr>
          <w:rFonts w:ascii="华文仿宋" w:eastAsia="华文仿宋" w:hAnsi="华文仿宋"/>
          <w:sz w:val="24"/>
          <w:szCs w:val="24"/>
        </w:rPr>
        <w:t>科学发现点</w:t>
      </w:r>
    </w:p>
    <w:p w14:paraId="42019443" w14:textId="77777777" w:rsidR="008466C1" w:rsidRDefault="00000000">
      <w:pPr>
        <w:spacing w:line="480" w:lineRule="exact"/>
        <w:ind w:firstLineChars="200" w:firstLine="480"/>
        <w:rPr>
          <w:rFonts w:ascii="华文仿宋" w:eastAsia="华文仿宋" w:hAnsi="华文仿宋" w:hint="eastAsia"/>
          <w:sz w:val="24"/>
          <w:szCs w:val="24"/>
        </w:rPr>
      </w:pPr>
      <w:r>
        <w:rPr>
          <w:rFonts w:ascii="华文仿宋" w:eastAsia="华文仿宋" w:hAnsi="华文仿宋" w:cs="宋体" w:hint="eastAsia"/>
          <w:sz w:val="24"/>
          <w:szCs w:val="24"/>
        </w:rPr>
        <w:t>①</w:t>
      </w:r>
      <w:r>
        <w:rPr>
          <w:rFonts w:ascii="华文仿宋" w:eastAsia="华文仿宋" w:hAnsi="华文仿宋"/>
          <w:sz w:val="24"/>
          <w:szCs w:val="24"/>
        </w:rPr>
        <w:t>虫草素对脑缺血缺氧的保护作用与其调控神经系统兴奋性直接相关；</w:t>
      </w:r>
      <w:r>
        <w:rPr>
          <w:rFonts w:ascii="华文仿宋" w:eastAsia="华文仿宋" w:hAnsi="华文仿宋" w:cs="宋体" w:hint="eastAsia"/>
          <w:sz w:val="24"/>
          <w:szCs w:val="24"/>
        </w:rPr>
        <w:t>②</w:t>
      </w:r>
      <w:r>
        <w:rPr>
          <w:rFonts w:ascii="华文仿宋" w:eastAsia="华文仿宋" w:hAnsi="华文仿宋"/>
          <w:sz w:val="24"/>
          <w:szCs w:val="24"/>
        </w:rPr>
        <w:t>虫草素对兴奋性神经毒性（如Aβ或Aβ+鹅膏蕈氨酸复合损伤等）损伤诱导老年痴呆模型动物学习记忆能力的改善作用与其调控神经系统兴奋性直接相关；</w:t>
      </w:r>
      <w:r>
        <w:rPr>
          <w:rFonts w:ascii="华文仿宋" w:eastAsia="华文仿宋" w:hAnsi="华文仿宋" w:cs="宋体" w:hint="eastAsia"/>
          <w:sz w:val="24"/>
          <w:szCs w:val="24"/>
        </w:rPr>
        <w:t>③</w:t>
      </w:r>
      <w:r>
        <w:rPr>
          <w:rFonts w:ascii="华文仿宋" w:eastAsia="华文仿宋" w:hAnsi="华文仿宋"/>
          <w:sz w:val="24"/>
          <w:szCs w:val="24"/>
        </w:rPr>
        <w:t>虫草素的上述</w:t>
      </w:r>
      <w:proofErr w:type="gramStart"/>
      <w:r>
        <w:rPr>
          <w:rFonts w:ascii="华文仿宋" w:eastAsia="华文仿宋" w:hAnsi="华文仿宋"/>
          <w:sz w:val="24"/>
          <w:szCs w:val="24"/>
        </w:rPr>
        <w:t>脑保护</w:t>
      </w:r>
      <w:proofErr w:type="gramEnd"/>
      <w:r>
        <w:rPr>
          <w:rFonts w:ascii="华文仿宋" w:eastAsia="华文仿宋" w:hAnsi="华文仿宋"/>
          <w:sz w:val="24"/>
          <w:szCs w:val="24"/>
        </w:rPr>
        <w:t>作用及深层作用机制涉及内源性腺苷A1受体的激活。</w:t>
      </w:r>
    </w:p>
    <w:p w14:paraId="0F9457FB" w14:textId="77777777" w:rsidR="008466C1" w:rsidRDefault="00000000">
      <w:pPr>
        <w:spacing w:line="480" w:lineRule="exact"/>
        <w:ind w:left="480"/>
        <w:rPr>
          <w:rFonts w:ascii="华文仿宋" w:eastAsia="华文仿宋" w:hAnsi="华文仿宋" w:hint="eastAsia"/>
          <w:sz w:val="24"/>
          <w:szCs w:val="24"/>
        </w:rPr>
      </w:pPr>
      <w:r>
        <w:rPr>
          <w:rFonts w:ascii="华文仿宋" w:eastAsia="华文仿宋" w:hAnsi="华文仿宋" w:hint="eastAsia"/>
          <w:sz w:val="24"/>
          <w:szCs w:val="24"/>
        </w:rPr>
        <w:t>3．</w:t>
      </w:r>
      <w:r>
        <w:rPr>
          <w:rFonts w:ascii="华文仿宋" w:eastAsia="华文仿宋" w:hAnsi="华文仿宋"/>
          <w:sz w:val="24"/>
          <w:szCs w:val="24"/>
        </w:rPr>
        <w:t>科学价值</w:t>
      </w:r>
    </w:p>
    <w:p w14:paraId="1AE2C431" w14:textId="77777777" w:rsidR="008466C1" w:rsidRDefault="00000000">
      <w:pPr>
        <w:spacing w:line="480" w:lineRule="exact"/>
        <w:ind w:firstLineChars="200" w:firstLine="480"/>
        <w:rPr>
          <w:rFonts w:ascii="华文仿宋" w:eastAsia="华文仿宋" w:hAnsi="华文仿宋" w:hint="eastAsia"/>
          <w:sz w:val="24"/>
          <w:szCs w:val="24"/>
        </w:rPr>
      </w:pPr>
      <w:r>
        <w:rPr>
          <w:rFonts w:ascii="华文仿宋" w:eastAsia="华文仿宋" w:hAnsi="华文仿宋"/>
          <w:sz w:val="24"/>
          <w:szCs w:val="24"/>
        </w:rPr>
        <w:lastRenderedPageBreak/>
        <w:t>虫草素（3</w:t>
      </w:r>
      <w:proofErr w:type="gramStart"/>
      <w:r>
        <w:rPr>
          <w:rFonts w:ascii="华文仿宋" w:eastAsia="华文仿宋" w:hAnsi="华文仿宋"/>
          <w:sz w:val="24"/>
          <w:szCs w:val="24"/>
        </w:rPr>
        <w:t>’</w:t>
      </w:r>
      <w:proofErr w:type="gramEnd"/>
      <w:r>
        <w:rPr>
          <w:rFonts w:ascii="华文仿宋" w:eastAsia="华文仿宋" w:hAnsi="华文仿宋"/>
          <w:sz w:val="24"/>
          <w:szCs w:val="24"/>
        </w:rPr>
        <w:t>-脱氧腺苷），为名贵天然中药材</w:t>
      </w:r>
      <w:proofErr w:type="gramStart"/>
      <w:r>
        <w:rPr>
          <w:rFonts w:ascii="华文仿宋" w:eastAsia="华文仿宋" w:hAnsi="华文仿宋"/>
          <w:sz w:val="24"/>
          <w:szCs w:val="24"/>
        </w:rPr>
        <w:t>蛹</w:t>
      </w:r>
      <w:proofErr w:type="gramEnd"/>
      <w:r>
        <w:rPr>
          <w:rFonts w:ascii="华文仿宋" w:eastAsia="华文仿宋" w:hAnsi="华文仿宋"/>
          <w:sz w:val="24"/>
          <w:szCs w:val="24"/>
        </w:rPr>
        <w:t>虫草的主要活性成份，具有广泛药理作用。本课题团队早在2010-2013年的前期研究中就发现，生理状态下，虫草素可以显著抑制突触前谷氨酸递质释放并降低神经元兴奋性。且目前已经明确，神经系统的过度兴奋所导致的一系列原发性或继发性细胞损伤效应是脑内众多疾病及损伤特别是脑卒中及神经退行性疾病的共同病理学过程。鉴于此，本项目团队结合团队主要成员（姚丽华）的早期研究，从脑卒中、AD等病症的典型动物模型入手，结合行为学、电生理学、分子生物学等不同技术角度系统证明了虫草素对脑卒中、AD等动物模型的</w:t>
      </w:r>
      <w:proofErr w:type="gramStart"/>
      <w:r>
        <w:rPr>
          <w:rFonts w:ascii="华文仿宋" w:eastAsia="华文仿宋" w:hAnsi="华文仿宋"/>
          <w:sz w:val="24"/>
          <w:szCs w:val="24"/>
        </w:rPr>
        <w:t>脑保护</w:t>
      </w:r>
      <w:proofErr w:type="gramEnd"/>
      <w:r>
        <w:rPr>
          <w:rFonts w:ascii="华文仿宋" w:eastAsia="华文仿宋" w:hAnsi="华文仿宋"/>
          <w:sz w:val="24"/>
          <w:szCs w:val="24"/>
        </w:rPr>
        <w:t>作用与其神经系统兴奋性调控直接相关。更深层次的药理学机制涉及内源性腺苷A1受体的激活。这些研究结果为虫草素在脑内众多疾病及损伤特别是脑卒中及神经退行性疾病的防治提供了直接的理论和实验依据。</w:t>
      </w:r>
    </w:p>
    <w:p w14:paraId="7F978C96" w14:textId="77777777" w:rsidR="008466C1" w:rsidRDefault="00000000">
      <w:pPr>
        <w:spacing w:line="480" w:lineRule="exact"/>
        <w:ind w:left="480"/>
        <w:rPr>
          <w:rFonts w:ascii="华文仿宋" w:eastAsia="华文仿宋" w:hAnsi="华文仿宋" w:hint="eastAsia"/>
          <w:sz w:val="24"/>
          <w:szCs w:val="24"/>
        </w:rPr>
      </w:pPr>
      <w:r>
        <w:rPr>
          <w:rFonts w:ascii="华文仿宋" w:eastAsia="华文仿宋" w:hAnsi="华文仿宋" w:hint="eastAsia"/>
          <w:sz w:val="24"/>
          <w:szCs w:val="24"/>
        </w:rPr>
        <w:t>4．</w:t>
      </w:r>
      <w:r>
        <w:rPr>
          <w:rFonts w:ascii="华文仿宋" w:eastAsia="华文仿宋" w:hAnsi="华文仿宋"/>
          <w:sz w:val="24"/>
          <w:szCs w:val="24"/>
        </w:rPr>
        <w:t>同行引用及评价情况</w:t>
      </w:r>
    </w:p>
    <w:p w14:paraId="2042A15B" w14:textId="77777777" w:rsidR="008466C1" w:rsidRDefault="00000000">
      <w:pPr>
        <w:spacing w:line="480" w:lineRule="exact"/>
        <w:ind w:firstLineChars="200" w:firstLine="480"/>
        <w:rPr>
          <w:rFonts w:ascii="华文仿宋" w:eastAsia="华文仿宋" w:hAnsi="华文仿宋" w:hint="eastAsia"/>
          <w:sz w:val="24"/>
          <w:szCs w:val="24"/>
        </w:rPr>
      </w:pPr>
      <w:r>
        <w:rPr>
          <w:rFonts w:ascii="华文仿宋" w:eastAsia="华文仿宋" w:hAnsi="华文仿宋"/>
          <w:sz w:val="24"/>
          <w:szCs w:val="24"/>
        </w:rPr>
        <w:t xml:space="preserve">相关成果发表在Biomed </w:t>
      </w:r>
      <w:proofErr w:type="spellStart"/>
      <w:r>
        <w:rPr>
          <w:rFonts w:ascii="华文仿宋" w:eastAsia="华文仿宋" w:hAnsi="华文仿宋"/>
          <w:sz w:val="24"/>
          <w:szCs w:val="24"/>
        </w:rPr>
        <w:t>Pharmacother</w:t>
      </w:r>
      <w:proofErr w:type="spellEnd"/>
      <w:r>
        <w:rPr>
          <w:rFonts w:ascii="华文仿宋" w:eastAsia="华文仿宋" w:hAnsi="华文仿宋"/>
          <w:sz w:val="24"/>
          <w:szCs w:val="24"/>
        </w:rPr>
        <w:t>、</w:t>
      </w:r>
      <w:proofErr w:type="spellStart"/>
      <w:r>
        <w:rPr>
          <w:rFonts w:ascii="华文仿宋" w:eastAsia="华文仿宋" w:hAnsi="华文仿宋"/>
          <w:sz w:val="24"/>
          <w:szCs w:val="24"/>
        </w:rPr>
        <w:t>Eur</w:t>
      </w:r>
      <w:proofErr w:type="spellEnd"/>
      <w:r>
        <w:rPr>
          <w:rFonts w:ascii="华文仿宋" w:eastAsia="华文仿宋" w:hAnsi="华文仿宋"/>
          <w:sz w:val="24"/>
          <w:szCs w:val="24"/>
        </w:rPr>
        <w:t xml:space="preserve"> J </w:t>
      </w:r>
      <w:proofErr w:type="spellStart"/>
      <w:r>
        <w:rPr>
          <w:rFonts w:ascii="华文仿宋" w:eastAsia="华文仿宋" w:hAnsi="华文仿宋"/>
          <w:sz w:val="24"/>
          <w:szCs w:val="24"/>
        </w:rPr>
        <w:t>Pharmacol</w:t>
      </w:r>
      <w:proofErr w:type="spellEnd"/>
      <w:r>
        <w:rPr>
          <w:rFonts w:ascii="华文仿宋" w:eastAsia="华文仿宋" w:hAnsi="华文仿宋"/>
          <w:sz w:val="24"/>
          <w:szCs w:val="24"/>
        </w:rPr>
        <w:t>等医药学领域知名期刊上, 受到了国内外同行的积极评价（5篇代表性论文近年来已被同行他引 65 次，SCI-E 数据库），并且依托该项目所取得的系列成果，指导学生参加全国“互联网+”大学生创新创业大赛，项目相关成果也同时获得了赛会评委专家们的高度好评，取得了第四届“互联网+”大学生创新创业大赛省级金奖（亚军）（2018 年）、全国总决赛铜奖（2018 年），展现了项目成果突出的潜在临床转化价值。</w:t>
      </w:r>
    </w:p>
    <w:p w14:paraId="5DA16115" w14:textId="77777777" w:rsidR="008466C1" w:rsidRDefault="00000000">
      <w:pPr>
        <w:widowControl/>
        <w:shd w:val="clear" w:color="auto" w:fill="FFFFFF"/>
        <w:spacing w:line="480" w:lineRule="exact"/>
        <w:rPr>
          <w:rFonts w:ascii="华文仿宋" w:eastAsia="华文仿宋" w:hAnsi="华文仿宋" w:hint="eastAsia"/>
          <w:b/>
          <w:bCs/>
          <w:sz w:val="24"/>
          <w:szCs w:val="24"/>
        </w:rPr>
      </w:pPr>
      <w:r>
        <w:rPr>
          <w:rFonts w:ascii="华文仿宋" w:eastAsia="华文仿宋" w:hAnsi="华文仿宋"/>
          <w:b/>
          <w:bCs/>
          <w:sz w:val="24"/>
          <w:szCs w:val="24"/>
        </w:rPr>
        <w:t>代表性科技成果</w:t>
      </w:r>
      <w:r>
        <w:rPr>
          <w:rFonts w:ascii="华文仿宋" w:eastAsia="华文仿宋" w:hAnsi="华文仿宋" w:hint="eastAsia"/>
          <w:b/>
          <w:bCs/>
          <w:sz w:val="24"/>
          <w:szCs w:val="24"/>
        </w:rPr>
        <w:t>：</w:t>
      </w:r>
    </w:p>
    <w:p w14:paraId="7457CDEF" w14:textId="77777777" w:rsidR="008466C1" w:rsidRDefault="00000000">
      <w:pPr>
        <w:numPr>
          <w:ilvl w:val="0"/>
          <w:numId w:val="2"/>
        </w:numPr>
        <w:adjustRightInd w:val="0"/>
        <w:snapToGrid w:val="0"/>
        <w:spacing w:line="480" w:lineRule="exact"/>
        <w:ind w:firstLineChars="200" w:firstLine="480"/>
        <w:rPr>
          <w:rFonts w:ascii="Times New Roman" w:eastAsia="方正仿宋_GBK" w:hAnsi="Times New Roman"/>
          <w:kern w:val="0"/>
          <w:sz w:val="24"/>
          <w:szCs w:val="24"/>
        </w:rPr>
      </w:pPr>
      <w:r>
        <w:rPr>
          <w:rFonts w:ascii="Times New Roman" w:eastAsia="方正仿宋_GBK" w:hAnsi="Times New Roman"/>
          <w:kern w:val="0"/>
          <w:sz w:val="24"/>
          <w:szCs w:val="24"/>
          <w:lang w:eastAsia="en-US"/>
        </w:rPr>
        <w:t>Chong Chen, Xin-Ping Liu, We</w:t>
      </w:r>
      <w:r>
        <w:rPr>
          <w:rFonts w:ascii="Times New Roman" w:eastAsia="方正仿宋_GBK" w:hAnsi="Times New Roman"/>
          <w:kern w:val="0"/>
          <w:sz w:val="24"/>
          <w:szCs w:val="24"/>
        </w:rPr>
        <w:t>i</w:t>
      </w:r>
      <w:r>
        <w:rPr>
          <w:rFonts w:ascii="Times New Roman" w:eastAsia="方正仿宋_GBK" w:hAnsi="Times New Roman"/>
          <w:kern w:val="0"/>
          <w:sz w:val="24"/>
          <w:szCs w:val="24"/>
          <w:lang w:eastAsia="en-US"/>
        </w:rPr>
        <w:t xml:space="preserve"> Jiang, Bin Zeng, Wei Meng, Li-Ping Huang, Yu-Ping Li, Wei Sun, Chun-Hua Yuan, Li-Hua Ya</w:t>
      </w:r>
      <w:r>
        <w:rPr>
          <w:rFonts w:ascii="Times New Roman" w:eastAsia="方正仿宋_GBK" w:hAnsi="Times New Roman"/>
          <w:kern w:val="0"/>
          <w:sz w:val="24"/>
          <w:szCs w:val="24"/>
        </w:rPr>
        <w:t xml:space="preserve">o. Anti-effects of cordycepin to hypoxia-induced membrane depolarization on hippocampal CA1 pyramidal </w:t>
      </w:r>
      <w:proofErr w:type="spellStart"/>
      <w:proofErr w:type="gramStart"/>
      <w:r>
        <w:rPr>
          <w:rFonts w:ascii="Times New Roman" w:eastAsia="方正仿宋_GBK" w:hAnsi="Times New Roman"/>
          <w:kern w:val="0"/>
          <w:sz w:val="24"/>
          <w:szCs w:val="24"/>
        </w:rPr>
        <w:t>neuron,European</w:t>
      </w:r>
      <w:proofErr w:type="spellEnd"/>
      <w:proofErr w:type="gramEnd"/>
      <w:r>
        <w:rPr>
          <w:rFonts w:ascii="Times New Roman" w:eastAsia="方正仿宋_GBK" w:hAnsi="Times New Roman"/>
          <w:kern w:val="0"/>
          <w:sz w:val="24"/>
          <w:szCs w:val="24"/>
        </w:rPr>
        <w:t xml:space="preserve"> Journal of Pharmacology, 2017, 796(5): 1-6.</w:t>
      </w:r>
    </w:p>
    <w:p w14:paraId="5A450D45" w14:textId="77777777" w:rsidR="008466C1" w:rsidRDefault="00000000">
      <w:pPr>
        <w:numPr>
          <w:ilvl w:val="0"/>
          <w:numId w:val="2"/>
        </w:numPr>
        <w:adjustRightInd w:val="0"/>
        <w:snapToGrid w:val="0"/>
        <w:spacing w:line="480" w:lineRule="exact"/>
        <w:ind w:firstLineChars="200" w:firstLine="480"/>
        <w:rPr>
          <w:rFonts w:ascii="Times New Roman" w:eastAsia="方正仿宋_GBK" w:hAnsi="Times New Roman"/>
          <w:kern w:val="0"/>
          <w:sz w:val="24"/>
          <w:szCs w:val="24"/>
        </w:rPr>
      </w:pPr>
      <w:r>
        <w:rPr>
          <w:rFonts w:ascii="Times New Roman" w:eastAsia="方正仿宋_GBK" w:hAnsi="Times New Roman"/>
          <w:kern w:val="0"/>
          <w:sz w:val="24"/>
          <w:szCs w:val="24"/>
        </w:rPr>
        <w:t xml:space="preserve">Zhi-Bin Liu, Chao Liu, Bing Zeng, Li-Ping Huang, Li-Hua Yao. Modulation effects of cordycepin on voltage-gated sodium channels in rat hippocampal CA1 pyramidal neurons in the presence/absence of oxygen. Neural Plast, 2017, 2017:2459053. </w:t>
      </w:r>
    </w:p>
    <w:p w14:paraId="726CFD37" w14:textId="77777777" w:rsidR="008466C1" w:rsidRDefault="00000000">
      <w:pPr>
        <w:numPr>
          <w:ilvl w:val="0"/>
          <w:numId w:val="2"/>
        </w:numPr>
        <w:adjustRightInd w:val="0"/>
        <w:snapToGrid w:val="0"/>
        <w:spacing w:line="480" w:lineRule="exact"/>
        <w:ind w:firstLineChars="200" w:firstLine="480"/>
        <w:rPr>
          <w:rFonts w:ascii="Times New Roman" w:eastAsia="方正仿宋_GBK" w:hAnsi="Times New Roman"/>
          <w:kern w:val="0"/>
          <w:sz w:val="24"/>
          <w:szCs w:val="24"/>
        </w:rPr>
      </w:pPr>
      <w:r>
        <w:rPr>
          <w:rFonts w:ascii="Times New Roman" w:eastAsia="方正仿宋_GBK" w:hAnsi="Times New Roman"/>
          <w:kern w:val="0"/>
          <w:sz w:val="24"/>
          <w:szCs w:val="24"/>
        </w:rPr>
        <w:t xml:space="preserve">Hao Song, Li-Ping Huang, Yuping Li, Chao Liu, Songhua Wang, Wei Meng, Shanshan Wei, Xin-Ping Liu, </w:t>
      </w:r>
      <w:proofErr w:type="spellStart"/>
      <w:r>
        <w:rPr>
          <w:rFonts w:ascii="Times New Roman" w:eastAsia="方正仿宋_GBK" w:hAnsi="Times New Roman"/>
          <w:kern w:val="0"/>
          <w:sz w:val="24"/>
          <w:szCs w:val="24"/>
        </w:rPr>
        <w:t>Yanchun</w:t>
      </w:r>
      <w:proofErr w:type="spellEnd"/>
      <w:r>
        <w:rPr>
          <w:rFonts w:ascii="Times New Roman" w:eastAsia="方正仿宋_GBK" w:hAnsi="Times New Roman"/>
          <w:kern w:val="0"/>
          <w:sz w:val="24"/>
          <w:szCs w:val="24"/>
        </w:rPr>
        <w:t xml:space="preserve"> Gong, Li-Hua Yao. Neuroprotective effects of </w:t>
      </w:r>
      <w:r>
        <w:rPr>
          <w:rFonts w:ascii="Times New Roman" w:eastAsia="方正仿宋_GBK" w:hAnsi="Times New Roman"/>
          <w:kern w:val="0"/>
          <w:sz w:val="24"/>
          <w:szCs w:val="24"/>
        </w:rPr>
        <w:lastRenderedPageBreak/>
        <w:t xml:space="preserve">cordycepin inhibit Aβ-induced apoptosis in hippocampal </w:t>
      </w:r>
      <w:proofErr w:type="spellStart"/>
      <w:r>
        <w:rPr>
          <w:rFonts w:ascii="Times New Roman" w:eastAsia="方正仿宋_GBK" w:hAnsi="Times New Roman"/>
          <w:kern w:val="0"/>
          <w:sz w:val="24"/>
          <w:szCs w:val="24"/>
        </w:rPr>
        <w:t>neuronals</w:t>
      </w:r>
      <w:proofErr w:type="spellEnd"/>
      <w:r>
        <w:rPr>
          <w:rFonts w:ascii="Times New Roman" w:eastAsia="方正仿宋_GBK" w:hAnsi="Times New Roman"/>
          <w:kern w:val="0"/>
          <w:sz w:val="24"/>
          <w:szCs w:val="24"/>
        </w:rPr>
        <w:t xml:space="preserve">. Neurotoxicology, 2018, 68:73-80. </w:t>
      </w:r>
    </w:p>
    <w:p w14:paraId="3948C0B9" w14:textId="77777777" w:rsidR="008466C1" w:rsidRDefault="00000000">
      <w:pPr>
        <w:numPr>
          <w:ilvl w:val="0"/>
          <w:numId w:val="2"/>
        </w:numPr>
        <w:adjustRightInd w:val="0"/>
        <w:snapToGrid w:val="0"/>
        <w:spacing w:line="480" w:lineRule="exact"/>
        <w:ind w:firstLineChars="200" w:firstLine="480"/>
        <w:rPr>
          <w:rFonts w:ascii="Times New Roman" w:eastAsia="方正仿宋_GBK" w:hAnsi="Times New Roman"/>
          <w:kern w:val="0"/>
          <w:sz w:val="24"/>
          <w:szCs w:val="24"/>
        </w:rPr>
      </w:pPr>
      <w:r>
        <w:rPr>
          <w:rFonts w:ascii="Times New Roman" w:eastAsia="方正仿宋_GBK" w:hAnsi="Times New Roman"/>
          <w:kern w:val="0"/>
          <w:sz w:val="24"/>
          <w:szCs w:val="24"/>
        </w:rPr>
        <w:t xml:space="preserve">Li-Hua Yao, </w:t>
      </w:r>
      <w:proofErr w:type="spellStart"/>
      <w:r>
        <w:rPr>
          <w:rFonts w:ascii="Times New Roman" w:eastAsia="方正仿宋_GBK" w:hAnsi="Times New Roman"/>
          <w:kern w:val="0"/>
          <w:sz w:val="24"/>
          <w:szCs w:val="24"/>
        </w:rPr>
        <w:t>Jinxiu</w:t>
      </w:r>
      <w:proofErr w:type="spellEnd"/>
      <w:r>
        <w:rPr>
          <w:rFonts w:ascii="Times New Roman" w:eastAsia="方正仿宋_GBK" w:hAnsi="Times New Roman"/>
          <w:kern w:val="0"/>
          <w:sz w:val="24"/>
          <w:szCs w:val="24"/>
        </w:rPr>
        <w:t xml:space="preserve"> Wang, Chao Liu, Shanshan Wei, </w:t>
      </w:r>
      <w:proofErr w:type="spellStart"/>
      <w:r>
        <w:rPr>
          <w:rFonts w:ascii="Times New Roman" w:eastAsia="方正仿宋_GBK" w:hAnsi="Times New Roman"/>
          <w:kern w:val="0"/>
          <w:sz w:val="24"/>
          <w:szCs w:val="24"/>
        </w:rPr>
        <w:t>Guoyin</w:t>
      </w:r>
      <w:proofErr w:type="spellEnd"/>
      <w:r>
        <w:rPr>
          <w:rFonts w:ascii="Times New Roman" w:eastAsia="方正仿宋_GBK" w:hAnsi="Times New Roman"/>
          <w:kern w:val="0"/>
          <w:sz w:val="24"/>
          <w:szCs w:val="24"/>
        </w:rPr>
        <w:t xml:space="preserve"> Li, Songhua Wang, Wei Meng, Zhi-Bin Liu, Li-Ping Huang. Cordycepin protects against Aβ + </w:t>
      </w:r>
      <w:proofErr w:type="spellStart"/>
      <w:r>
        <w:rPr>
          <w:rFonts w:ascii="Times New Roman" w:eastAsia="方正仿宋_GBK" w:hAnsi="Times New Roman"/>
          <w:kern w:val="0"/>
          <w:sz w:val="24"/>
          <w:szCs w:val="24"/>
        </w:rPr>
        <w:t>ibotenic</w:t>
      </w:r>
      <w:proofErr w:type="spellEnd"/>
      <w:r>
        <w:rPr>
          <w:rFonts w:ascii="Times New Roman" w:eastAsia="方正仿宋_GBK" w:hAnsi="Times New Roman"/>
          <w:kern w:val="0"/>
          <w:sz w:val="24"/>
          <w:szCs w:val="24"/>
        </w:rPr>
        <w:t xml:space="preserve"> acid–induced hippocampal CA1 pyramidal neuronal hyperactivity. Korean Journal of Physiology &amp; Pharmacology, 2019, 23(6): 483-491.</w:t>
      </w:r>
    </w:p>
    <w:p w14:paraId="29B3E5A2" w14:textId="77777777" w:rsidR="008466C1" w:rsidRDefault="00000000">
      <w:pPr>
        <w:numPr>
          <w:ilvl w:val="0"/>
          <w:numId w:val="2"/>
        </w:numPr>
        <w:adjustRightInd w:val="0"/>
        <w:snapToGrid w:val="0"/>
        <w:spacing w:line="480" w:lineRule="exact"/>
        <w:ind w:firstLineChars="200" w:firstLine="480"/>
        <w:rPr>
          <w:rFonts w:ascii="Times New Roman" w:eastAsia="方正仿宋_GBK" w:hAnsi="Times New Roman"/>
          <w:kern w:val="0"/>
          <w:sz w:val="24"/>
          <w:szCs w:val="24"/>
        </w:rPr>
      </w:pPr>
      <w:proofErr w:type="spellStart"/>
      <w:r>
        <w:rPr>
          <w:rFonts w:ascii="Times New Roman" w:eastAsia="方正仿宋_GBK" w:hAnsi="Times New Roman"/>
          <w:kern w:val="0"/>
          <w:sz w:val="24"/>
          <w:szCs w:val="24"/>
        </w:rPr>
        <w:t>Jinxiu</w:t>
      </w:r>
      <w:proofErr w:type="spellEnd"/>
      <w:r>
        <w:rPr>
          <w:rFonts w:ascii="Times New Roman" w:eastAsia="方正仿宋_GBK" w:hAnsi="Times New Roman"/>
          <w:kern w:val="0"/>
          <w:sz w:val="24"/>
          <w:szCs w:val="24"/>
        </w:rPr>
        <w:t xml:space="preserve"> Wang, </w:t>
      </w:r>
      <w:proofErr w:type="spellStart"/>
      <w:r>
        <w:rPr>
          <w:rFonts w:ascii="Times New Roman" w:eastAsia="方正仿宋_GBK" w:hAnsi="Times New Roman"/>
          <w:kern w:val="0"/>
          <w:sz w:val="24"/>
          <w:szCs w:val="24"/>
        </w:rPr>
        <w:t>Yanchun</w:t>
      </w:r>
      <w:proofErr w:type="spellEnd"/>
      <w:r>
        <w:rPr>
          <w:rFonts w:ascii="Times New Roman" w:eastAsia="方正仿宋_GBK" w:hAnsi="Times New Roman"/>
          <w:kern w:val="0"/>
          <w:sz w:val="24"/>
          <w:szCs w:val="24"/>
        </w:rPr>
        <w:t xml:space="preserve"> Gong, </w:t>
      </w:r>
      <w:proofErr w:type="spellStart"/>
      <w:r>
        <w:rPr>
          <w:rFonts w:ascii="Times New Roman" w:eastAsia="方正仿宋_GBK" w:hAnsi="Times New Roman"/>
          <w:kern w:val="0"/>
          <w:sz w:val="24"/>
          <w:szCs w:val="24"/>
        </w:rPr>
        <w:t>Haoyuan</w:t>
      </w:r>
      <w:proofErr w:type="spellEnd"/>
      <w:r>
        <w:rPr>
          <w:rFonts w:ascii="Times New Roman" w:eastAsia="方正仿宋_GBK" w:hAnsi="Times New Roman"/>
          <w:kern w:val="0"/>
          <w:sz w:val="24"/>
          <w:szCs w:val="24"/>
        </w:rPr>
        <w:t xml:space="preserve"> Tan, Wenxi Li, </w:t>
      </w:r>
      <w:proofErr w:type="spellStart"/>
      <w:r>
        <w:rPr>
          <w:rFonts w:ascii="Times New Roman" w:eastAsia="方正仿宋_GBK" w:hAnsi="Times New Roman"/>
          <w:kern w:val="0"/>
          <w:sz w:val="24"/>
          <w:szCs w:val="24"/>
        </w:rPr>
        <w:t>Baiyi</w:t>
      </w:r>
      <w:proofErr w:type="spellEnd"/>
      <w:r>
        <w:rPr>
          <w:rFonts w:ascii="Times New Roman" w:eastAsia="方正仿宋_GBK" w:hAnsi="Times New Roman"/>
          <w:kern w:val="0"/>
          <w:sz w:val="24"/>
          <w:szCs w:val="24"/>
        </w:rPr>
        <w:t xml:space="preserve"> Yan, Chunfang Cheng, Juan Wan, Wei Sun, Chunhua Yuan, Li-Hua Yao. Cordycepin suppresses glutamatergic and GABAergic synaptic transmission through activation of A1 adenosine receptor in rat hippocampal CA1 pyramidal neurons. Biomedicine &amp; Pharmacotherapy, 2022, 145(2022):112446.</w:t>
      </w:r>
    </w:p>
    <w:p w14:paraId="3B55A91A" w14:textId="77777777" w:rsidR="008466C1" w:rsidRDefault="00000000">
      <w:pPr>
        <w:pStyle w:val="a8"/>
        <w:widowControl/>
        <w:shd w:val="clear" w:color="auto" w:fill="FFFFFF"/>
        <w:spacing w:beforeLines="50" w:before="156" w:beforeAutospacing="0" w:afterLines="50" w:after="156" w:afterAutospacing="0" w:line="480" w:lineRule="exact"/>
        <w:jc w:val="both"/>
        <w:rPr>
          <w:rFonts w:ascii="仿宋_GB2312" w:eastAsia="仿宋_GB2312" w:hAnsi="黑体" w:cs="黑体" w:hint="eastAsia"/>
          <w:b/>
          <w:bCs/>
          <w:kern w:val="2"/>
          <w:szCs w:val="24"/>
        </w:rPr>
      </w:pPr>
      <w:r>
        <w:rPr>
          <w:rFonts w:ascii="仿宋_GB2312" w:eastAsia="仿宋_GB2312" w:hAnsi="黑体" w:cs="黑体" w:hint="eastAsia"/>
          <w:b/>
          <w:bCs/>
          <w:kern w:val="2"/>
          <w:szCs w:val="24"/>
        </w:rPr>
        <w:t>主要完成人情况：</w:t>
      </w:r>
    </w:p>
    <w:tbl>
      <w:tblPr>
        <w:tblW w:w="509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59"/>
        <w:gridCol w:w="1066"/>
        <w:gridCol w:w="852"/>
        <w:gridCol w:w="1276"/>
        <w:gridCol w:w="1276"/>
        <w:gridCol w:w="4535"/>
      </w:tblGrid>
      <w:tr w:rsidR="008466C1" w14:paraId="6B2CF26D" w14:textId="77777777">
        <w:trPr>
          <w:trHeight w:val="380"/>
          <w:tblHeader/>
          <w:jc w:val="center"/>
        </w:trPr>
        <w:tc>
          <w:tcPr>
            <w:tcW w:w="242" w:type="pct"/>
            <w:vAlign w:val="center"/>
          </w:tcPr>
          <w:p w14:paraId="4B5EF9C0" w14:textId="77777777" w:rsidR="008466C1" w:rsidRDefault="00000000">
            <w:pPr>
              <w:pStyle w:val="a3"/>
              <w:adjustRightInd w:val="0"/>
              <w:snapToGrid w:val="0"/>
              <w:spacing w:line="240" w:lineRule="auto"/>
              <w:ind w:firstLineChars="0" w:firstLine="0"/>
              <w:jc w:val="center"/>
              <w:rPr>
                <w:rFonts w:eastAsia="仿宋_GB2312" w:hAnsi="Times New Roman"/>
                <w:b/>
                <w:bCs/>
                <w:color w:val="000000"/>
                <w:szCs w:val="24"/>
              </w:rPr>
            </w:pPr>
            <w:r>
              <w:rPr>
                <w:rFonts w:eastAsia="仿宋_GB2312" w:hAnsi="Times New Roman" w:hint="eastAsia"/>
                <w:b/>
                <w:bCs/>
                <w:color w:val="000000"/>
                <w:szCs w:val="24"/>
              </w:rPr>
              <w:t>排名</w:t>
            </w:r>
          </w:p>
        </w:tc>
        <w:tc>
          <w:tcPr>
            <w:tcW w:w="563" w:type="pct"/>
            <w:vAlign w:val="center"/>
          </w:tcPr>
          <w:p w14:paraId="3BB3B66C" w14:textId="77777777" w:rsidR="008466C1" w:rsidRDefault="00000000">
            <w:pPr>
              <w:pStyle w:val="a3"/>
              <w:adjustRightInd w:val="0"/>
              <w:snapToGrid w:val="0"/>
              <w:spacing w:line="240" w:lineRule="auto"/>
              <w:ind w:firstLineChars="0" w:firstLine="0"/>
              <w:jc w:val="center"/>
              <w:rPr>
                <w:rFonts w:eastAsia="仿宋_GB2312" w:hAnsi="Times New Roman"/>
                <w:b/>
                <w:bCs/>
                <w:color w:val="000000"/>
                <w:szCs w:val="24"/>
              </w:rPr>
            </w:pPr>
            <w:r>
              <w:rPr>
                <w:rFonts w:eastAsia="仿宋_GB2312" w:hAnsi="Times New Roman" w:hint="eastAsia"/>
                <w:b/>
                <w:bCs/>
                <w:color w:val="000000"/>
                <w:szCs w:val="24"/>
              </w:rPr>
              <w:t>姓名</w:t>
            </w:r>
          </w:p>
        </w:tc>
        <w:tc>
          <w:tcPr>
            <w:tcW w:w="450" w:type="pct"/>
            <w:vAlign w:val="center"/>
          </w:tcPr>
          <w:p w14:paraId="0D0C6E85" w14:textId="77777777" w:rsidR="008466C1" w:rsidRDefault="00000000">
            <w:pPr>
              <w:pStyle w:val="a3"/>
              <w:adjustRightInd w:val="0"/>
              <w:snapToGrid w:val="0"/>
              <w:spacing w:line="240" w:lineRule="auto"/>
              <w:ind w:firstLineChars="0" w:firstLine="0"/>
              <w:jc w:val="center"/>
              <w:rPr>
                <w:rFonts w:eastAsia="仿宋_GB2312" w:hAnsi="Times New Roman"/>
                <w:b/>
                <w:bCs/>
                <w:color w:val="000000"/>
                <w:szCs w:val="24"/>
              </w:rPr>
            </w:pPr>
            <w:r>
              <w:rPr>
                <w:rFonts w:eastAsia="仿宋_GB2312" w:hAnsi="Times New Roman" w:hint="eastAsia"/>
                <w:b/>
                <w:bCs/>
                <w:color w:val="000000"/>
                <w:szCs w:val="24"/>
              </w:rPr>
              <w:t>职务/职称</w:t>
            </w:r>
          </w:p>
        </w:tc>
        <w:tc>
          <w:tcPr>
            <w:tcW w:w="674" w:type="pct"/>
            <w:vAlign w:val="center"/>
          </w:tcPr>
          <w:p w14:paraId="0863B0F9" w14:textId="77777777" w:rsidR="008466C1" w:rsidRDefault="00000000">
            <w:pPr>
              <w:pStyle w:val="a3"/>
              <w:adjustRightInd w:val="0"/>
              <w:snapToGrid w:val="0"/>
              <w:spacing w:line="240" w:lineRule="auto"/>
              <w:ind w:firstLineChars="0" w:firstLine="0"/>
              <w:jc w:val="center"/>
              <w:rPr>
                <w:rFonts w:eastAsia="仿宋_GB2312" w:hAnsi="Times New Roman"/>
                <w:b/>
                <w:bCs/>
                <w:color w:val="000000"/>
                <w:szCs w:val="24"/>
              </w:rPr>
            </w:pPr>
            <w:r>
              <w:rPr>
                <w:rFonts w:eastAsia="仿宋_GB2312" w:hAnsi="Times New Roman" w:hint="eastAsia"/>
                <w:b/>
                <w:bCs/>
                <w:color w:val="000000"/>
                <w:szCs w:val="24"/>
              </w:rPr>
              <w:t>工作单位</w:t>
            </w:r>
          </w:p>
        </w:tc>
        <w:tc>
          <w:tcPr>
            <w:tcW w:w="674" w:type="pct"/>
            <w:vAlign w:val="center"/>
          </w:tcPr>
          <w:p w14:paraId="2DF6EB2B" w14:textId="77777777" w:rsidR="008466C1" w:rsidRDefault="00000000">
            <w:pPr>
              <w:pStyle w:val="a3"/>
              <w:adjustRightInd w:val="0"/>
              <w:snapToGrid w:val="0"/>
              <w:spacing w:line="240" w:lineRule="auto"/>
              <w:ind w:firstLineChars="0" w:firstLine="0"/>
              <w:jc w:val="center"/>
              <w:rPr>
                <w:rFonts w:eastAsia="仿宋_GB2312" w:hAnsi="Times New Roman"/>
                <w:b/>
                <w:bCs/>
                <w:color w:val="000000"/>
                <w:szCs w:val="24"/>
              </w:rPr>
            </w:pPr>
            <w:r>
              <w:rPr>
                <w:rFonts w:eastAsia="仿宋_GB2312" w:hAnsi="Times New Roman" w:hint="eastAsia"/>
                <w:b/>
                <w:bCs/>
                <w:color w:val="000000"/>
                <w:szCs w:val="24"/>
              </w:rPr>
              <w:t>完成单位</w:t>
            </w:r>
          </w:p>
        </w:tc>
        <w:tc>
          <w:tcPr>
            <w:tcW w:w="2396" w:type="pct"/>
            <w:vAlign w:val="center"/>
          </w:tcPr>
          <w:p w14:paraId="34D72FE3" w14:textId="77777777" w:rsidR="008466C1" w:rsidRDefault="00000000">
            <w:pPr>
              <w:pStyle w:val="a3"/>
              <w:adjustRightInd w:val="0"/>
              <w:snapToGrid w:val="0"/>
              <w:spacing w:line="240" w:lineRule="auto"/>
              <w:ind w:firstLineChars="0" w:firstLine="0"/>
              <w:jc w:val="center"/>
              <w:rPr>
                <w:rFonts w:eastAsia="仿宋_GB2312" w:hAnsi="Times New Roman"/>
                <w:b/>
                <w:bCs/>
                <w:color w:val="000000"/>
                <w:szCs w:val="24"/>
              </w:rPr>
            </w:pPr>
            <w:r>
              <w:rPr>
                <w:rFonts w:ascii="Times New Roman" w:hAnsi="Times New Roman" w:hint="eastAsia"/>
                <w:b/>
                <w:szCs w:val="24"/>
              </w:rPr>
              <w:t>对本项目的贡献</w:t>
            </w:r>
          </w:p>
        </w:tc>
      </w:tr>
      <w:tr w:rsidR="008466C1" w14:paraId="147593F5" w14:textId="77777777">
        <w:trPr>
          <w:trHeight w:val="374"/>
          <w:jc w:val="center"/>
        </w:trPr>
        <w:tc>
          <w:tcPr>
            <w:tcW w:w="242" w:type="pct"/>
            <w:vAlign w:val="center"/>
          </w:tcPr>
          <w:p w14:paraId="3B45E4D6"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Ansi="仿宋" w:cs="仿宋" w:hint="eastAsia"/>
                <w:szCs w:val="24"/>
              </w:rPr>
              <w:t>1</w:t>
            </w:r>
          </w:p>
        </w:tc>
        <w:tc>
          <w:tcPr>
            <w:tcW w:w="563" w:type="pct"/>
            <w:vAlign w:val="center"/>
          </w:tcPr>
          <w:p w14:paraId="3CC496E7"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姚丽华</w:t>
            </w:r>
          </w:p>
        </w:tc>
        <w:tc>
          <w:tcPr>
            <w:tcW w:w="450" w:type="pct"/>
            <w:vAlign w:val="center"/>
          </w:tcPr>
          <w:p w14:paraId="0085BD28"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院长/教授</w:t>
            </w:r>
          </w:p>
        </w:tc>
        <w:tc>
          <w:tcPr>
            <w:tcW w:w="674" w:type="pct"/>
            <w:vAlign w:val="center"/>
          </w:tcPr>
          <w:p w14:paraId="22AA0EA5"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江西科技师范大学</w:t>
            </w:r>
          </w:p>
        </w:tc>
        <w:tc>
          <w:tcPr>
            <w:tcW w:w="674" w:type="pct"/>
            <w:vAlign w:val="center"/>
          </w:tcPr>
          <w:p w14:paraId="79B2A24B"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江西科技师范大学</w:t>
            </w:r>
          </w:p>
        </w:tc>
        <w:tc>
          <w:tcPr>
            <w:tcW w:w="2396" w:type="pct"/>
          </w:tcPr>
          <w:p w14:paraId="59026E4E" w14:textId="77777777" w:rsidR="008466C1" w:rsidRDefault="00000000">
            <w:pPr>
              <w:pStyle w:val="a3"/>
              <w:adjustRightInd w:val="0"/>
              <w:snapToGrid w:val="0"/>
              <w:spacing w:line="240" w:lineRule="auto"/>
              <w:ind w:firstLineChars="0" w:firstLine="0"/>
              <w:jc w:val="center"/>
              <w:rPr>
                <w:rFonts w:eastAsia="仿宋_GB2312"/>
                <w:color w:val="000000" w:themeColor="text1"/>
                <w:szCs w:val="24"/>
              </w:rPr>
            </w:pPr>
            <w:r>
              <w:rPr>
                <w:rFonts w:hint="eastAsia"/>
              </w:rPr>
              <w:t>项目第一完成人和总负责人。负责本项目全面工作，提出研究思路、设计技术路线。是第</w:t>
            </w:r>
            <w:r>
              <w:rPr>
                <w:rFonts w:hint="eastAsia"/>
              </w:rPr>
              <w:t>1</w:t>
            </w:r>
            <w:r>
              <w:rPr>
                <w:rFonts w:hint="eastAsia"/>
              </w:rPr>
              <w:t>、</w:t>
            </w:r>
            <w:r>
              <w:rPr>
                <w:rFonts w:hint="eastAsia"/>
              </w:rPr>
              <w:t>2</w:t>
            </w:r>
            <w:r>
              <w:rPr>
                <w:rFonts w:hint="eastAsia"/>
              </w:rPr>
              <w:t>、</w:t>
            </w:r>
            <w:r>
              <w:rPr>
                <w:rFonts w:hint="eastAsia"/>
              </w:rPr>
              <w:t>3</w:t>
            </w:r>
            <w:r>
              <w:rPr>
                <w:rFonts w:hint="eastAsia"/>
              </w:rPr>
              <w:t>、</w:t>
            </w:r>
            <w:r>
              <w:rPr>
                <w:rFonts w:hint="eastAsia"/>
              </w:rPr>
              <w:t>5</w:t>
            </w:r>
            <w:r>
              <w:rPr>
                <w:rFonts w:hint="eastAsia"/>
              </w:rPr>
              <w:t>篇代表性论文通讯作者，第</w:t>
            </w:r>
            <w:r>
              <w:rPr>
                <w:rFonts w:hint="eastAsia"/>
              </w:rPr>
              <w:t>4</w:t>
            </w:r>
            <w:r>
              <w:rPr>
                <w:rFonts w:hint="eastAsia"/>
              </w:rPr>
              <w:t>篇代表性论文第一作者；专利</w:t>
            </w:r>
            <w:r>
              <w:rPr>
                <w:rFonts w:hint="eastAsia"/>
              </w:rPr>
              <w:t>1-4</w:t>
            </w:r>
            <w:r>
              <w:rPr>
                <w:rFonts w:hint="eastAsia"/>
              </w:rPr>
              <w:t>第一完成人；本项目已验收</w:t>
            </w:r>
            <w:r>
              <w:rPr>
                <w:rFonts w:hint="eastAsia"/>
              </w:rPr>
              <w:t>/</w:t>
            </w:r>
            <w:r>
              <w:rPr>
                <w:rFonts w:hint="eastAsia"/>
              </w:rPr>
              <w:t>结题课题</w:t>
            </w:r>
            <w:r>
              <w:rPr>
                <w:rFonts w:hint="eastAsia"/>
              </w:rPr>
              <w:t>1-3</w:t>
            </w:r>
            <w:r>
              <w:rPr>
                <w:rFonts w:hint="eastAsia"/>
              </w:rPr>
              <w:t>的主持人。</w:t>
            </w:r>
          </w:p>
        </w:tc>
      </w:tr>
      <w:tr w:rsidR="008466C1" w14:paraId="4D3DD0B2" w14:textId="77777777">
        <w:trPr>
          <w:trHeight w:val="562"/>
          <w:jc w:val="center"/>
        </w:trPr>
        <w:tc>
          <w:tcPr>
            <w:tcW w:w="242" w:type="pct"/>
            <w:vAlign w:val="center"/>
          </w:tcPr>
          <w:p w14:paraId="26419F5A"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Ansi="仿宋" w:cs="仿宋" w:hint="eastAsia"/>
                <w:szCs w:val="24"/>
              </w:rPr>
              <w:t>2</w:t>
            </w:r>
          </w:p>
        </w:tc>
        <w:tc>
          <w:tcPr>
            <w:tcW w:w="563" w:type="pct"/>
            <w:vAlign w:val="center"/>
          </w:tcPr>
          <w:p w14:paraId="08CA05B8"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孟玮</w:t>
            </w:r>
          </w:p>
        </w:tc>
        <w:tc>
          <w:tcPr>
            <w:tcW w:w="450" w:type="pct"/>
            <w:vAlign w:val="center"/>
          </w:tcPr>
          <w:p w14:paraId="5509BDD9"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无/教授</w:t>
            </w:r>
          </w:p>
        </w:tc>
        <w:tc>
          <w:tcPr>
            <w:tcW w:w="674" w:type="pct"/>
            <w:shd w:val="clear" w:color="auto" w:fill="auto"/>
            <w:vAlign w:val="center"/>
          </w:tcPr>
          <w:p w14:paraId="655781A4"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江西科技师范大学</w:t>
            </w:r>
          </w:p>
        </w:tc>
        <w:tc>
          <w:tcPr>
            <w:tcW w:w="674" w:type="pct"/>
            <w:shd w:val="clear" w:color="auto" w:fill="auto"/>
            <w:vAlign w:val="center"/>
          </w:tcPr>
          <w:p w14:paraId="1F831F84"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江西科技师范大学</w:t>
            </w:r>
          </w:p>
        </w:tc>
        <w:tc>
          <w:tcPr>
            <w:tcW w:w="2396" w:type="pct"/>
          </w:tcPr>
          <w:p w14:paraId="5781110E" w14:textId="77777777" w:rsidR="008466C1" w:rsidRDefault="00000000">
            <w:pPr>
              <w:pStyle w:val="a3"/>
              <w:adjustRightInd w:val="0"/>
              <w:snapToGrid w:val="0"/>
              <w:spacing w:line="240" w:lineRule="auto"/>
              <w:ind w:firstLineChars="0" w:firstLine="0"/>
              <w:jc w:val="center"/>
              <w:rPr>
                <w:rFonts w:eastAsia="仿宋_GB2312"/>
                <w:color w:val="000000" w:themeColor="text1"/>
                <w:szCs w:val="24"/>
              </w:rPr>
            </w:pPr>
            <w:r>
              <w:rPr>
                <w:rFonts w:hint="eastAsia"/>
              </w:rPr>
              <w:t>项目第</w:t>
            </w:r>
            <w:r>
              <w:rPr>
                <w:rFonts w:hint="eastAsia"/>
              </w:rPr>
              <w:t>2</w:t>
            </w:r>
            <w:r>
              <w:rPr>
                <w:rFonts w:hint="eastAsia"/>
              </w:rPr>
              <w:t>完成人。主要从事离子通道药理学方面的实验内容的设计与研究。是第</w:t>
            </w:r>
            <w:r>
              <w:rPr>
                <w:rFonts w:hint="eastAsia"/>
              </w:rPr>
              <w:t>1</w:t>
            </w:r>
            <w:r>
              <w:rPr>
                <w:rFonts w:hint="eastAsia"/>
              </w:rPr>
              <w:t>、</w:t>
            </w:r>
            <w:r>
              <w:rPr>
                <w:rFonts w:hint="eastAsia"/>
              </w:rPr>
              <w:t>2</w:t>
            </w:r>
            <w:r>
              <w:rPr>
                <w:rFonts w:hint="eastAsia"/>
              </w:rPr>
              <w:t>、</w:t>
            </w:r>
            <w:r>
              <w:rPr>
                <w:rFonts w:hint="eastAsia"/>
              </w:rPr>
              <w:t>4</w:t>
            </w:r>
            <w:r>
              <w:rPr>
                <w:rFonts w:hint="eastAsia"/>
              </w:rPr>
              <w:t>篇代表性论文共同参与作者（分别排名第</w:t>
            </w:r>
            <w:r>
              <w:rPr>
                <w:rFonts w:hint="eastAsia"/>
              </w:rPr>
              <w:t>5</w:t>
            </w:r>
            <w:r>
              <w:rPr>
                <w:rFonts w:hint="eastAsia"/>
              </w:rPr>
              <w:t>、</w:t>
            </w:r>
            <w:r>
              <w:rPr>
                <w:rFonts w:hint="eastAsia"/>
              </w:rPr>
              <w:t>6</w:t>
            </w:r>
            <w:r>
              <w:rPr>
                <w:rFonts w:hint="eastAsia"/>
              </w:rPr>
              <w:t>、</w:t>
            </w:r>
            <w:r>
              <w:rPr>
                <w:rFonts w:hint="eastAsia"/>
              </w:rPr>
              <w:t>7</w:t>
            </w:r>
            <w:r>
              <w:rPr>
                <w:rFonts w:hint="eastAsia"/>
              </w:rPr>
              <w:t>）；专利</w:t>
            </w:r>
            <w:r>
              <w:rPr>
                <w:rFonts w:hint="eastAsia"/>
              </w:rPr>
              <w:t>1-2</w:t>
            </w:r>
            <w:r>
              <w:rPr>
                <w:rFonts w:hint="eastAsia"/>
              </w:rPr>
              <w:t>共同完成人（均排名第</w:t>
            </w:r>
            <w:r>
              <w:rPr>
                <w:rFonts w:hint="eastAsia"/>
              </w:rPr>
              <w:t>2</w:t>
            </w:r>
            <w:r>
              <w:rPr>
                <w:rFonts w:hint="eastAsia"/>
              </w:rPr>
              <w:t>）；本项目已验收</w:t>
            </w:r>
            <w:r>
              <w:rPr>
                <w:rFonts w:hint="eastAsia"/>
              </w:rPr>
              <w:t>/</w:t>
            </w:r>
            <w:r>
              <w:rPr>
                <w:rFonts w:hint="eastAsia"/>
              </w:rPr>
              <w:t>结题课题</w:t>
            </w:r>
            <w:r>
              <w:rPr>
                <w:rFonts w:hint="eastAsia"/>
              </w:rPr>
              <w:t>1-2</w:t>
            </w:r>
            <w:r>
              <w:rPr>
                <w:rFonts w:hint="eastAsia"/>
              </w:rPr>
              <w:t>的重要参与成员。</w:t>
            </w:r>
          </w:p>
        </w:tc>
      </w:tr>
      <w:tr w:rsidR="008466C1" w14:paraId="74FE5219" w14:textId="77777777">
        <w:trPr>
          <w:cantSplit/>
          <w:trHeight w:val="374"/>
          <w:jc w:val="center"/>
        </w:trPr>
        <w:tc>
          <w:tcPr>
            <w:tcW w:w="242" w:type="pct"/>
            <w:vAlign w:val="center"/>
          </w:tcPr>
          <w:p w14:paraId="4BDB6CA5"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Ansi="仿宋" w:cs="仿宋" w:hint="eastAsia"/>
                <w:szCs w:val="24"/>
              </w:rPr>
              <w:t>3</w:t>
            </w:r>
          </w:p>
        </w:tc>
        <w:tc>
          <w:tcPr>
            <w:tcW w:w="563" w:type="pct"/>
            <w:vAlign w:val="center"/>
          </w:tcPr>
          <w:p w14:paraId="683EA4DB" w14:textId="77777777" w:rsidR="008466C1" w:rsidRDefault="00000000">
            <w:pPr>
              <w:pStyle w:val="a3"/>
              <w:adjustRightInd w:val="0"/>
              <w:snapToGrid w:val="0"/>
              <w:spacing w:line="240" w:lineRule="auto"/>
              <w:ind w:firstLineChars="0" w:firstLine="0"/>
              <w:jc w:val="center"/>
              <w:rPr>
                <w:rFonts w:eastAsia="仿宋_GB2312"/>
                <w:color w:val="000000" w:themeColor="text1"/>
                <w:szCs w:val="24"/>
              </w:rPr>
            </w:pPr>
            <w:proofErr w:type="gramStart"/>
            <w:r>
              <w:rPr>
                <w:rFonts w:eastAsia="仿宋_GB2312" w:hint="eastAsia"/>
                <w:color w:val="000000" w:themeColor="text1"/>
                <w:szCs w:val="24"/>
              </w:rPr>
              <w:t>江维</w:t>
            </w:r>
            <w:proofErr w:type="gramEnd"/>
          </w:p>
        </w:tc>
        <w:tc>
          <w:tcPr>
            <w:tcW w:w="450" w:type="pct"/>
            <w:vAlign w:val="center"/>
          </w:tcPr>
          <w:p w14:paraId="363CAFFA" w14:textId="77777777" w:rsidR="008466C1" w:rsidRDefault="00000000">
            <w:pPr>
              <w:pStyle w:val="a3"/>
              <w:adjustRightInd w:val="0"/>
              <w:snapToGrid w:val="0"/>
              <w:spacing w:line="240" w:lineRule="auto"/>
              <w:ind w:firstLineChars="0" w:firstLine="0"/>
              <w:jc w:val="center"/>
              <w:rPr>
                <w:rFonts w:eastAsia="仿宋_GB2312"/>
                <w:color w:val="000000" w:themeColor="text1"/>
                <w:szCs w:val="24"/>
              </w:rPr>
            </w:pPr>
            <w:r>
              <w:rPr>
                <w:rFonts w:eastAsia="仿宋_GB2312" w:hint="eastAsia"/>
                <w:color w:val="000000" w:themeColor="text1"/>
                <w:szCs w:val="24"/>
              </w:rPr>
              <w:t>无/副高</w:t>
            </w:r>
          </w:p>
        </w:tc>
        <w:tc>
          <w:tcPr>
            <w:tcW w:w="674" w:type="pct"/>
            <w:shd w:val="clear" w:color="auto" w:fill="auto"/>
            <w:vAlign w:val="center"/>
          </w:tcPr>
          <w:p w14:paraId="126C115E" w14:textId="77777777" w:rsidR="008466C1" w:rsidRDefault="00000000">
            <w:pPr>
              <w:pStyle w:val="a3"/>
              <w:adjustRightInd w:val="0"/>
              <w:snapToGrid w:val="0"/>
              <w:spacing w:line="240" w:lineRule="auto"/>
              <w:ind w:firstLineChars="0" w:firstLine="0"/>
              <w:jc w:val="center"/>
              <w:rPr>
                <w:rFonts w:eastAsia="仿宋_GB2312"/>
                <w:color w:val="000000" w:themeColor="text1"/>
                <w:szCs w:val="24"/>
              </w:rPr>
            </w:pPr>
            <w:r>
              <w:rPr>
                <w:rFonts w:eastAsia="仿宋_GB2312" w:hint="eastAsia"/>
                <w:color w:val="000000" w:themeColor="text1"/>
                <w:szCs w:val="24"/>
              </w:rPr>
              <w:t>江西省妇幼保健院</w:t>
            </w:r>
          </w:p>
        </w:tc>
        <w:tc>
          <w:tcPr>
            <w:tcW w:w="674" w:type="pct"/>
            <w:shd w:val="clear" w:color="auto" w:fill="auto"/>
            <w:vAlign w:val="center"/>
          </w:tcPr>
          <w:p w14:paraId="2FAA9E44"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江西省妇幼保健院</w:t>
            </w:r>
          </w:p>
        </w:tc>
        <w:tc>
          <w:tcPr>
            <w:tcW w:w="2396" w:type="pct"/>
          </w:tcPr>
          <w:p w14:paraId="538D62DB" w14:textId="77777777" w:rsidR="008466C1" w:rsidRDefault="00000000">
            <w:pPr>
              <w:pStyle w:val="a3"/>
              <w:adjustRightInd w:val="0"/>
              <w:snapToGrid w:val="0"/>
              <w:spacing w:line="240" w:lineRule="auto"/>
              <w:ind w:firstLineChars="0" w:firstLine="0"/>
              <w:jc w:val="center"/>
              <w:rPr>
                <w:rFonts w:eastAsia="仿宋_GB2312"/>
                <w:color w:val="000000" w:themeColor="text1"/>
                <w:szCs w:val="24"/>
              </w:rPr>
            </w:pPr>
            <w:r>
              <w:rPr>
                <w:rFonts w:hint="eastAsia"/>
              </w:rPr>
              <w:t>项目第</w:t>
            </w:r>
            <w:r>
              <w:rPr>
                <w:rFonts w:hint="eastAsia"/>
              </w:rPr>
              <w:t>3</w:t>
            </w:r>
            <w:r>
              <w:rPr>
                <w:rFonts w:hint="eastAsia"/>
              </w:rPr>
              <w:t>完成人。从事临床肿瘤、中药药理学等方面的研究。主要负责本项目离子通道药理学研究内容，并负责项目相关的虫草产学研转化方面的工作。是第</w:t>
            </w:r>
            <w:r>
              <w:rPr>
                <w:rFonts w:hint="eastAsia"/>
              </w:rPr>
              <w:t>1</w:t>
            </w:r>
            <w:r>
              <w:rPr>
                <w:rFonts w:hint="eastAsia"/>
              </w:rPr>
              <w:t>篇代表性论文共同参与作者（排名第</w:t>
            </w:r>
            <w:r>
              <w:rPr>
                <w:rFonts w:hint="eastAsia"/>
              </w:rPr>
              <w:t>3</w:t>
            </w:r>
            <w:r>
              <w:rPr>
                <w:rFonts w:hint="eastAsia"/>
              </w:rPr>
              <w:t>）；专利</w:t>
            </w:r>
            <w:r>
              <w:rPr>
                <w:rFonts w:hint="eastAsia"/>
              </w:rPr>
              <w:t>3-4</w:t>
            </w:r>
            <w:r>
              <w:rPr>
                <w:rFonts w:hint="eastAsia"/>
              </w:rPr>
              <w:t>共同完成人（均排名第</w:t>
            </w:r>
            <w:r>
              <w:rPr>
                <w:rFonts w:hint="eastAsia"/>
              </w:rPr>
              <w:t>3</w:t>
            </w:r>
            <w:r>
              <w:rPr>
                <w:rFonts w:hint="eastAsia"/>
              </w:rPr>
              <w:t>）。</w:t>
            </w:r>
          </w:p>
        </w:tc>
      </w:tr>
      <w:tr w:rsidR="008466C1" w14:paraId="2E1481C6" w14:textId="77777777">
        <w:trPr>
          <w:trHeight w:val="570"/>
          <w:jc w:val="center"/>
        </w:trPr>
        <w:tc>
          <w:tcPr>
            <w:tcW w:w="242" w:type="pct"/>
            <w:vAlign w:val="center"/>
          </w:tcPr>
          <w:p w14:paraId="1013BB0B"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Ansi="仿宋" w:cs="仿宋" w:hint="eastAsia"/>
                <w:szCs w:val="24"/>
              </w:rPr>
              <w:t>4</w:t>
            </w:r>
          </w:p>
        </w:tc>
        <w:tc>
          <w:tcPr>
            <w:tcW w:w="563" w:type="pct"/>
            <w:vAlign w:val="center"/>
          </w:tcPr>
          <w:p w14:paraId="79D1BD4D"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龚妍春</w:t>
            </w:r>
          </w:p>
        </w:tc>
        <w:tc>
          <w:tcPr>
            <w:tcW w:w="450" w:type="pct"/>
            <w:vAlign w:val="center"/>
          </w:tcPr>
          <w:p w14:paraId="2024A6C5"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无/副教授</w:t>
            </w:r>
          </w:p>
        </w:tc>
        <w:tc>
          <w:tcPr>
            <w:tcW w:w="674" w:type="pct"/>
            <w:shd w:val="clear" w:color="auto" w:fill="auto"/>
            <w:vAlign w:val="center"/>
          </w:tcPr>
          <w:p w14:paraId="3C7FD6DB"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江西科技师范大学</w:t>
            </w:r>
          </w:p>
        </w:tc>
        <w:tc>
          <w:tcPr>
            <w:tcW w:w="674" w:type="pct"/>
            <w:shd w:val="clear" w:color="auto" w:fill="auto"/>
            <w:vAlign w:val="center"/>
          </w:tcPr>
          <w:p w14:paraId="4AE8E9BA"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江西科技师范大学</w:t>
            </w:r>
          </w:p>
        </w:tc>
        <w:tc>
          <w:tcPr>
            <w:tcW w:w="2396" w:type="pct"/>
          </w:tcPr>
          <w:p w14:paraId="5D8D9369" w14:textId="77777777" w:rsidR="008466C1" w:rsidRDefault="00000000">
            <w:pPr>
              <w:pStyle w:val="a3"/>
              <w:adjustRightInd w:val="0"/>
              <w:snapToGrid w:val="0"/>
              <w:spacing w:line="240" w:lineRule="auto"/>
              <w:ind w:firstLineChars="0" w:firstLine="0"/>
              <w:jc w:val="center"/>
              <w:rPr>
                <w:rFonts w:eastAsia="仿宋_GB2312"/>
                <w:color w:val="000000" w:themeColor="text1"/>
                <w:szCs w:val="24"/>
              </w:rPr>
            </w:pPr>
            <w:r>
              <w:rPr>
                <w:rFonts w:hint="eastAsia"/>
              </w:rPr>
              <w:t>项目第</w:t>
            </w:r>
            <w:r>
              <w:rPr>
                <w:rFonts w:hint="eastAsia"/>
              </w:rPr>
              <w:t>4</w:t>
            </w:r>
            <w:r>
              <w:rPr>
                <w:rFonts w:hint="eastAsia"/>
              </w:rPr>
              <w:t>完成人。从事药理学方面的研究。主要负责本项目细胞分子生物学实验相关设计工作。是第</w:t>
            </w:r>
            <w:r>
              <w:rPr>
                <w:rFonts w:hint="eastAsia"/>
              </w:rPr>
              <w:t>3</w:t>
            </w:r>
            <w:r>
              <w:rPr>
                <w:rFonts w:hint="eastAsia"/>
              </w:rPr>
              <w:t>、</w:t>
            </w:r>
            <w:r>
              <w:rPr>
                <w:rFonts w:hint="eastAsia"/>
              </w:rPr>
              <w:t>5</w:t>
            </w:r>
            <w:r>
              <w:rPr>
                <w:rFonts w:hint="eastAsia"/>
              </w:rPr>
              <w:t>篇代表性论文共</w:t>
            </w:r>
            <w:r>
              <w:rPr>
                <w:rFonts w:hint="eastAsia"/>
              </w:rPr>
              <w:lastRenderedPageBreak/>
              <w:t>同参与作者（分别排名第</w:t>
            </w:r>
            <w:r>
              <w:rPr>
                <w:rFonts w:hint="eastAsia"/>
              </w:rPr>
              <w:t>9</w:t>
            </w:r>
            <w:r>
              <w:rPr>
                <w:rFonts w:hint="eastAsia"/>
              </w:rPr>
              <w:t>、</w:t>
            </w:r>
            <w:r>
              <w:rPr>
                <w:rFonts w:hint="eastAsia"/>
              </w:rPr>
              <w:t>2</w:t>
            </w:r>
            <w:r>
              <w:rPr>
                <w:rFonts w:hint="eastAsia"/>
              </w:rPr>
              <w:t>）；本项目已验收</w:t>
            </w:r>
            <w:r>
              <w:rPr>
                <w:rFonts w:hint="eastAsia"/>
              </w:rPr>
              <w:t>/</w:t>
            </w:r>
            <w:r>
              <w:rPr>
                <w:rFonts w:hint="eastAsia"/>
              </w:rPr>
              <w:t>结题课题</w:t>
            </w:r>
            <w:r>
              <w:rPr>
                <w:rFonts w:hint="eastAsia"/>
              </w:rPr>
              <w:t>1</w:t>
            </w:r>
            <w:r>
              <w:rPr>
                <w:rFonts w:hint="eastAsia"/>
              </w:rPr>
              <w:t>、</w:t>
            </w:r>
            <w:r>
              <w:rPr>
                <w:rFonts w:hint="eastAsia"/>
              </w:rPr>
              <w:t>3</w:t>
            </w:r>
            <w:r>
              <w:rPr>
                <w:rFonts w:hint="eastAsia"/>
              </w:rPr>
              <w:t>的参与成员。</w:t>
            </w:r>
          </w:p>
        </w:tc>
      </w:tr>
      <w:tr w:rsidR="008466C1" w14:paraId="4F0319FA" w14:textId="77777777">
        <w:trPr>
          <w:trHeight w:val="570"/>
          <w:jc w:val="center"/>
        </w:trPr>
        <w:tc>
          <w:tcPr>
            <w:tcW w:w="242" w:type="pct"/>
            <w:shd w:val="clear" w:color="auto" w:fill="auto"/>
            <w:vAlign w:val="center"/>
          </w:tcPr>
          <w:p w14:paraId="74DB07EE"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Ansi="仿宋" w:cs="仿宋" w:hint="eastAsia"/>
                <w:szCs w:val="24"/>
              </w:rPr>
              <w:lastRenderedPageBreak/>
              <w:t>5</w:t>
            </w:r>
          </w:p>
        </w:tc>
        <w:tc>
          <w:tcPr>
            <w:tcW w:w="563" w:type="pct"/>
            <w:shd w:val="clear" w:color="auto" w:fill="auto"/>
            <w:vAlign w:val="center"/>
          </w:tcPr>
          <w:p w14:paraId="5B0A7E63"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李国印</w:t>
            </w:r>
          </w:p>
        </w:tc>
        <w:tc>
          <w:tcPr>
            <w:tcW w:w="450" w:type="pct"/>
            <w:shd w:val="clear" w:color="auto" w:fill="auto"/>
            <w:vAlign w:val="center"/>
          </w:tcPr>
          <w:p w14:paraId="409935BE"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无/副教授</w:t>
            </w:r>
          </w:p>
        </w:tc>
        <w:tc>
          <w:tcPr>
            <w:tcW w:w="674" w:type="pct"/>
            <w:shd w:val="clear" w:color="auto" w:fill="auto"/>
            <w:vAlign w:val="center"/>
          </w:tcPr>
          <w:p w14:paraId="4BC0C9A3"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江西科技师范大学</w:t>
            </w:r>
          </w:p>
        </w:tc>
        <w:tc>
          <w:tcPr>
            <w:tcW w:w="674" w:type="pct"/>
            <w:shd w:val="clear" w:color="auto" w:fill="auto"/>
            <w:vAlign w:val="center"/>
          </w:tcPr>
          <w:p w14:paraId="19BE3732" w14:textId="77777777" w:rsidR="008466C1" w:rsidRDefault="00000000">
            <w:pPr>
              <w:pStyle w:val="a3"/>
              <w:adjustRightInd w:val="0"/>
              <w:snapToGrid w:val="0"/>
              <w:spacing w:line="240" w:lineRule="auto"/>
              <w:ind w:firstLineChars="0" w:firstLine="0"/>
              <w:jc w:val="center"/>
              <w:rPr>
                <w:rFonts w:eastAsia="仿宋_GB2312" w:hAnsi="仿宋" w:cs="仿宋" w:hint="eastAsia"/>
                <w:szCs w:val="24"/>
              </w:rPr>
            </w:pPr>
            <w:r>
              <w:rPr>
                <w:rFonts w:eastAsia="仿宋_GB2312" w:hint="eastAsia"/>
                <w:color w:val="000000" w:themeColor="text1"/>
                <w:szCs w:val="24"/>
              </w:rPr>
              <w:t>江西科技师范大学</w:t>
            </w:r>
          </w:p>
        </w:tc>
        <w:tc>
          <w:tcPr>
            <w:tcW w:w="2396" w:type="pct"/>
          </w:tcPr>
          <w:p w14:paraId="5DF6EC74" w14:textId="77777777" w:rsidR="008466C1" w:rsidRDefault="00000000">
            <w:pPr>
              <w:pStyle w:val="a3"/>
              <w:adjustRightInd w:val="0"/>
              <w:snapToGrid w:val="0"/>
              <w:spacing w:line="240" w:lineRule="auto"/>
              <w:ind w:firstLineChars="0" w:firstLine="0"/>
              <w:jc w:val="center"/>
              <w:rPr>
                <w:rFonts w:eastAsia="仿宋_GB2312"/>
                <w:color w:val="000000" w:themeColor="text1"/>
                <w:szCs w:val="24"/>
              </w:rPr>
            </w:pPr>
            <w:r>
              <w:rPr>
                <w:rFonts w:hint="eastAsia"/>
              </w:rPr>
              <w:t>项目第</w:t>
            </w:r>
            <w:r>
              <w:rPr>
                <w:rFonts w:hint="eastAsia"/>
              </w:rPr>
              <w:t>5</w:t>
            </w:r>
            <w:r>
              <w:rPr>
                <w:rFonts w:hint="eastAsia"/>
              </w:rPr>
              <w:t>完成人。从事运动康复方面的研究。主要负责本项目动物行为学实验、细胞生理生化相关研究内容。是第</w:t>
            </w:r>
            <w:r>
              <w:rPr>
                <w:rFonts w:hint="eastAsia"/>
              </w:rPr>
              <w:t>4</w:t>
            </w:r>
            <w:r>
              <w:rPr>
                <w:rFonts w:hint="eastAsia"/>
              </w:rPr>
              <w:t>篇代表性论文共同参与作者（排名第</w:t>
            </w:r>
            <w:r>
              <w:rPr>
                <w:rFonts w:hint="eastAsia"/>
              </w:rPr>
              <w:t>5</w:t>
            </w:r>
            <w:r>
              <w:rPr>
                <w:rFonts w:hint="eastAsia"/>
              </w:rPr>
              <w:t>）。</w:t>
            </w:r>
          </w:p>
        </w:tc>
      </w:tr>
    </w:tbl>
    <w:p w14:paraId="2A761725" w14:textId="77777777" w:rsidR="008466C1" w:rsidRDefault="00000000">
      <w:pPr>
        <w:pStyle w:val="a8"/>
        <w:widowControl/>
        <w:shd w:val="clear" w:color="auto" w:fill="FFFFFF"/>
        <w:spacing w:before="240" w:beforeAutospacing="0" w:after="240" w:afterAutospacing="0" w:line="480" w:lineRule="exact"/>
        <w:jc w:val="both"/>
        <w:rPr>
          <w:rFonts w:ascii="仿宋_GB2312" w:eastAsia="仿宋_GB2312" w:hAnsi="黑体" w:cs="黑体" w:hint="eastAsia"/>
          <w:b/>
          <w:bCs/>
          <w:kern w:val="2"/>
          <w:szCs w:val="24"/>
        </w:rPr>
      </w:pPr>
      <w:r>
        <w:rPr>
          <w:rFonts w:ascii="仿宋_GB2312" w:eastAsia="仿宋_GB2312" w:hAnsi="黑体" w:cs="黑体" w:hint="eastAsia"/>
          <w:b/>
          <w:bCs/>
          <w:kern w:val="2"/>
          <w:szCs w:val="24"/>
        </w:rPr>
        <w:t>完成单位情况：</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57"/>
        <w:gridCol w:w="2203"/>
        <w:gridCol w:w="6628"/>
      </w:tblGrid>
      <w:tr w:rsidR="008466C1" w14:paraId="585C8627" w14:textId="77777777">
        <w:trPr>
          <w:trHeight w:val="375"/>
          <w:jc w:val="center"/>
        </w:trPr>
        <w:tc>
          <w:tcPr>
            <w:tcW w:w="246" w:type="pct"/>
            <w:vAlign w:val="center"/>
          </w:tcPr>
          <w:p w14:paraId="43CA65EE" w14:textId="77777777" w:rsidR="008466C1" w:rsidRDefault="00000000">
            <w:pPr>
              <w:pStyle w:val="a3"/>
              <w:adjustRightInd w:val="0"/>
              <w:snapToGrid w:val="0"/>
              <w:spacing w:line="240" w:lineRule="auto"/>
              <w:ind w:firstLineChars="0" w:firstLine="0"/>
              <w:jc w:val="center"/>
              <w:rPr>
                <w:rFonts w:eastAsia="仿宋_GB2312" w:hAnsi="Times New Roman"/>
                <w:b/>
                <w:bCs/>
                <w:color w:val="000000"/>
                <w:szCs w:val="24"/>
              </w:rPr>
            </w:pPr>
            <w:r>
              <w:rPr>
                <w:rFonts w:eastAsia="仿宋_GB2312" w:hAnsi="Times New Roman" w:hint="eastAsia"/>
                <w:b/>
                <w:bCs/>
                <w:color w:val="000000"/>
                <w:szCs w:val="24"/>
              </w:rPr>
              <w:t>排名</w:t>
            </w:r>
          </w:p>
        </w:tc>
        <w:tc>
          <w:tcPr>
            <w:tcW w:w="1186" w:type="pct"/>
            <w:vAlign w:val="center"/>
          </w:tcPr>
          <w:p w14:paraId="58F6AF81" w14:textId="77777777" w:rsidR="008466C1" w:rsidRDefault="00000000">
            <w:pPr>
              <w:pStyle w:val="a3"/>
              <w:adjustRightInd w:val="0"/>
              <w:snapToGrid w:val="0"/>
              <w:spacing w:line="240" w:lineRule="auto"/>
              <w:ind w:firstLineChars="0" w:firstLine="0"/>
              <w:jc w:val="center"/>
              <w:rPr>
                <w:rFonts w:eastAsia="仿宋_GB2312" w:hAnsi="Times New Roman"/>
                <w:b/>
                <w:bCs/>
                <w:color w:val="000000"/>
                <w:szCs w:val="24"/>
              </w:rPr>
            </w:pPr>
            <w:r>
              <w:rPr>
                <w:rFonts w:eastAsia="仿宋_GB2312" w:hAnsi="Times New Roman" w:hint="eastAsia"/>
                <w:b/>
                <w:bCs/>
                <w:color w:val="000000"/>
                <w:szCs w:val="24"/>
              </w:rPr>
              <w:t>完成单位</w:t>
            </w:r>
          </w:p>
        </w:tc>
        <w:tc>
          <w:tcPr>
            <w:tcW w:w="3568" w:type="pct"/>
            <w:vAlign w:val="center"/>
          </w:tcPr>
          <w:p w14:paraId="596B93EF" w14:textId="77777777" w:rsidR="008466C1" w:rsidRDefault="00000000">
            <w:pPr>
              <w:pStyle w:val="a3"/>
              <w:adjustRightInd w:val="0"/>
              <w:snapToGrid w:val="0"/>
              <w:spacing w:line="240" w:lineRule="auto"/>
              <w:ind w:firstLineChars="0" w:firstLine="0"/>
              <w:jc w:val="center"/>
              <w:rPr>
                <w:rFonts w:eastAsia="仿宋_GB2312" w:hAnsi="Times New Roman"/>
                <w:b/>
                <w:bCs/>
                <w:color w:val="000000"/>
                <w:szCs w:val="24"/>
              </w:rPr>
            </w:pPr>
            <w:r>
              <w:rPr>
                <w:rFonts w:ascii="Times New Roman" w:hAnsi="Times New Roman" w:hint="eastAsia"/>
                <w:b/>
                <w:szCs w:val="24"/>
              </w:rPr>
              <w:t>对本项目的贡献</w:t>
            </w:r>
          </w:p>
        </w:tc>
      </w:tr>
      <w:tr w:rsidR="008466C1" w14:paraId="28925439" w14:textId="77777777">
        <w:trPr>
          <w:trHeight w:val="274"/>
          <w:jc w:val="center"/>
        </w:trPr>
        <w:tc>
          <w:tcPr>
            <w:tcW w:w="246" w:type="pct"/>
            <w:vAlign w:val="center"/>
          </w:tcPr>
          <w:p w14:paraId="2E2889D6" w14:textId="77777777" w:rsidR="008466C1" w:rsidRDefault="00000000">
            <w:pPr>
              <w:pStyle w:val="a3"/>
              <w:adjustRightInd w:val="0"/>
              <w:snapToGrid w:val="0"/>
              <w:spacing w:line="240" w:lineRule="auto"/>
              <w:ind w:firstLineChars="0" w:firstLine="0"/>
              <w:jc w:val="center"/>
              <w:rPr>
                <w:rFonts w:ascii="华文仿宋" w:eastAsia="华文仿宋" w:hAnsi="华文仿宋" w:cs="仿宋" w:hint="eastAsia"/>
                <w:szCs w:val="24"/>
              </w:rPr>
            </w:pPr>
            <w:r>
              <w:rPr>
                <w:rFonts w:ascii="华文仿宋" w:eastAsia="华文仿宋" w:hAnsi="华文仿宋" w:hint="eastAsia"/>
              </w:rPr>
              <w:t>1</w:t>
            </w:r>
          </w:p>
        </w:tc>
        <w:tc>
          <w:tcPr>
            <w:tcW w:w="1186" w:type="pct"/>
            <w:vAlign w:val="center"/>
          </w:tcPr>
          <w:p w14:paraId="4D4FC5C6" w14:textId="77777777" w:rsidR="008466C1" w:rsidRDefault="00000000">
            <w:pPr>
              <w:pStyle w:val="a3"/>
              <w:adjustRightInd w:val="0"/>
              <w:snapToGrid w:val="0"/>
              <w:spacing w:line="240" w:lineRule="auto"/>
              <w:ind w:firstLineChars="0" w:firstLine="0"/>
              <w:jc w:val="center"/>
              <w:rPr>
                <w:rFonts w:ascii="华文仿宋" w:eastAsia="华文仿宋" w:hAnsi="华文仿宋" w:hint="eastAsia"/>
                <w:color w:val="000000" w:themeColor="text1"/>
                <w:szCs w:val="24"/>
              </w:rPr>
            </w:pPr>
            <w:r>
              <w:rPr>
                <w:rFonts w:ascii="华文仿宋" w:eastAsia="华文仿宋" w:hAnsi="华文仿宋" w:hint="eastAsia"/>
              </w:rPr>
              <w:t>江西科技师范大学</w:t>
            </w:r>
          </w:p>
        </w:tc>
        <w:tc>
          <w:tcPr>
            <w:tcW w:w="3568" w:type="pct"/>
            <w:vAlign w:val="center"/>
          </w:tcPr>
          <w:p w14:paraId="3FC65B4A" w14:textId="77777777" w:rsidR="008466C1" w:rsidRDefault="00000000">
            <w:pPr>
              <w:pStyle w:val="a3"/>
              <w:adjustRightInd w:val="0"/>
              <w:snapToGrid w:val="0"/>
              <w:spacing w:line="240" w:lineRule="auto"/>
              <w:ind w:firstLineChars="0" w:firstLine="0"/>
              <w:rPr>
                <w:rFonts w:ascii="华文仿宋" w:eastAsia="华文仿宋" w:hAnsi="华文仿宋" w:hint="eastAsia"/>
                <w:color w:val="000000" w:themeColor="text1"/>
                <w:szCs w:val="24"/>
              </w:rPr>
            </w:pPr>
            <w:r>
              <w:rPr>
                <w:rFonts w:ascii="华文仿宋" w:eastAsia="华文仿宋" w:hAnsi="华文仿宋" w:hint="eastAsia"/>
              </w:rPr>
              <w:t>在本项目的研究过程中，提供技术、经费、设备、场地和人员等条件，是该项目所有代表性论文的第一完成单位。</w:t>
            </w:r>
          </w:p>
        </w:tc>
      </w:tr>
      <w:tr w:rsidR="008466C1" w14:paraId="5244AC30" w14:textId="77777777">
        <w:trPr>
          <w:trHeight w:val="481"/>
          <w:jc w:val="center"/>
        </w:trPr>
        <w:tc>
          <w:tcPr>
            <w:tcW w:w="246" w:type="pct"/>
            <w:vAlign w:val="center"/>
          </w:tcPr>
          <w:p w14:paraId="1901AAF8" w14:textId="77777777" w:rsidR="008466C1" w:rsidRDefault="00000000">
            <w:pPr>
              <w:pStyle w:val="a3"/>
              <w:adjustRightInd w:val="0"/>
              <w:snapToGrid w:val="0"/>
              <w:spacing w:line="240" w:lineRule="auto"/>
              <w:ind w:firstLineChars="0" w:firstLine="0"/>
              <w:jc w:val="center"/>
              <w:rPr>
                <w:rFonts w:ascii="华文仿宋" w:eastAsia="华文仿宋" w:hAnsi="华文仿宋" w:cs="仿宋" w:hint="eastAsia"/>
                <w:szCs w:val="24"/>
              </w:rPr>
            </w:pPr>
            <w:r>
              <w:rPr>
                <w:rFonts w:ascii="华文仿宋" w:eastAsia="华文仿宋" w:hAnsi="华文仿宋" w:hint="eastAsia"/>
              </w:rPr>
              <w:t>2</w:t>
            </w:r>
          </w:p>
        </w:tc>
        <w:tc>
          <w:tcPr>
            <w:tcW w:w="1186" w:type="pct"/>
            <w:vAlign w:val="center"/>
          </w:tcPr>
          <w:p w14:paraId="2F48DB1A" w14:textId="77777777" w:rsidR="008466C1" w:rsidRDefault="00000000">
            <w:pPr>
              <w:pStyle w:val="a3"/>
              <w:adjustRightInd w:val="0"/>
              <w:snapToGrid w:val="0"/>
              <w:spacing w:line="240" w:lineRule="auto"/>
              <w:ind w:firstLineChars="0" w:firstLine="0"/>
              <w:jc w:val="center"/>
              <w:rPr>
                <w:rFonts w:ascii="华文仿宋" w:eastAsia="华文仿宋" w:hAnsi="华文仿宋" w:hint="eastAsia"/>
                <w:color w:val="000000" w:themeColor="text1"/>
                <w:szCs w:val="24"/>
              </w:rPr>
            </w:pPr>
            <w:r>
              <w:rPr>
                <w:rFonts w:ascii="华文仿宋" w:eastAsia="华文仿宋" w:hAnsi="华文仿宋" w:hint="eastAsia"/>
              </w:rPr>
              <w:t>江西省妇幼保健院</w:t>
            </w:r>
          </w:p>
        </w:tc>
        <w:tc>
          <w:tcPr>
            <w:tcW w:w="3568" w:type="pct"/>
            <w:vAlign w:val="center"/>
          </w:tcPr>
          <w:p w14:paraId="07D4A82B" w14:textId="77777777" w:rsidR="008466C1" w:rsidRDefault="00000000">
            <w:pPr>
              <w:pStyle w:val="a3"/>
              <w:adjustRightInd w:val="0"/>
              <w:snapToGrid w:val="0"/>
              <w:spacing w:line="240" w:lineRule="auto"/>
              <w:ind w:firstLineChars="0" w:firstLine="0"/>
              <w:rPr>
                <w:rFonts w:ascii="华文仿宋" w:eastAsia="华文仿宋" w:hAnsi="华文仿宋" w:hint="eastAsia"/>
                <w:color w:val="000000" w:themeColor="text1"/>
                <w:szCs w:val="24"/>
              </w:rPr>
            </w:pPr>
            <w:r>
              <w:rPr>
                <w:rFonts w:ascii="华文仿宋" w:eastAsia="华文仿宋" w:hAnsi="华文仿宋" w:hint="eastAsia"/>
              </w:rPr>
              <w:t>为本项目的成功实施提供了一定的经费及技术支撑，是该项目代表性论文1的第二完成单位。</w:t>
            </w:r>
          </w:p>
        </w:tc>
      </w:tr>
    </w:tbl>
    <w:p w14:paraId="4EEDBC54" w14:textId="77777777" w:rsidR="008466C1" w:rsidRDefault="008466C1"/>
    <w:sectPr w:rsidR="008466C1">
      <w:pgSz w:w="11906" w:h="16838"/>
      <w:pgMar w:top="1701" w:right="1417" w:bottom="1701" w:left="1417" w:header="851" w:footer="141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仿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46BCB4"/>
    <w:multiLevelType w:val="singleLevel"/>
    <w:tmpl w:val="BB46BCB4"/>
    <w:lvl w:ilvl="0">
      <w:start w:val="2"/>
      <w:numFmt w:val="decimal"/>
      <w:suff w:val="space"/>
      <w:lvlText w:val="%1."/>
      <w:lvlJc w:val="left"/>
    </w:lvl>
  </w:abstractNum>
  <w:abstractNum w:abstractNumId="1" w15:restartNumberingAfterBreak="0">
    <w:nsid w:val="63848EA0"/>
    <w:multiLevelType w:val="singleLevel"/>
    <w:tmpl w:val="63848EA0"/>
    <w:lvl w:ilvl="0">
      <w:start w:val="1"/>
      <w:numFmt w:val="decimal"/>
      <w:suff w:val="space"/>
      <w:lvlText w:val="%1."/>
      <w:lvlJc w:val="left"/>
    </w:lvl>
  </w:abstractNum>
  <w:num w:numId="1" w16cid:durableId="587033811">
    <w:abstractNumId w:val="0"/>
  </w:num>
  <w:num w:numId="2" w16cid:durableId="604504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RjYWQ1NmFiYTcxNmRhZmFiZDQ0ZjcwMzgxZDk4NWYifQ=="/>
  </w:docVars>
  <w:rsids>
    <w:rsidRoot w:val="2CF64218"/>
    <w:rsid w:val="0005434F"/>
    <w:rsid w:val="000C4211"/>
    <w:rsid w:val="000D01EB"/>
    <w:rsid w:val="0018332C"/>
    <w:rsid w:val="0029053D"/>
    <w:rsid w:val="002B704C"/>
    <w:rsid w:val="002D6DA3"/>
    <w:rsid w:val="003D4936"/>
    <w:rsid w:val="003D7D8B"/>
    <w:rsid w:val="004145A5"/>
    <w:rsid w:val="00465684"/>
    <w:rsid w:val="00595CED"/>
    <w:rsid w:val="006D5DD1"/>
    <w:rsid w:val="00782CFB"/>
    <w:rsid w:val="00840300"/>
    <w:rsid w:val="008466C1"/>
    <w:rsid w:val="00993491"/>
    <w:rsid w:val="009F7E1A"/>
    <w:rsid w:val="00A60C30"/>
    <w:rsid w:val="00C1104F"/>
    <w:rsid w:val="00C22878"/>
    <w:rsid w:val="00C44D31"/>
    <w:rsid w:val="00D7276A"/>
    <w:rsid w:val="00DB51AC"/>
    <w:rsid w:val="00DD70A2"/>
    <w:rsid w:val="00EC17E7"/>
    <w:rsid w:val="01194310"/>
    <w:rsid w:val="02056D00"/>
    <w:rsid w:val="022C6982"/>
    <w:rsid w:val="02D0730E"/>
    <w:rsid w:val="03836A76"/>
    <w:rsid w:val="03B60BF9"/>
    <w:rsid w:val="03C230FA"/>
    <w:rsid w:val="0584521B"/>
    <w:rsid w:val="069C40D7"/>
    <w:rsid w:val="07177C01"/>
    <w:rsid w:val="097A7FD3"/>
    <w:rsid w:val="0C3D1EB8"/>
    <w:rsid w:val="10054D84"/>
    <w:rsid w:val="12747CB6"/>
    <w:rsid w:val="12923B19"/>
    <w:rsid w:val="145117F1"/>
    <w:rsid w:val="1570760A"/>
    <w:rsid w:val="19B7333F"/>
    <w:rsid w:val="19E27BFB"/>
    <w:rsid w:val="1EB61656"/>
    <w:rsid w:val="207B66B3"/>
    <w:rsid w:val="213056EF"/>
    <w:rsid w:val="225F2771"/>
    <w:rsid w:val="232B0864"/>
    <w:rsid w:val="253F4153"/>
    <w:rsid w:val="27FD20A3"/>
    <w:rsid w:val="2B5446D0"/>
    <w:rsid w:val="2CBD0053"/>
    <w:rsid w:val="2CF64218"/>
    <w:rsid w:val="2DA21723"/>
    <w:rsid w:val="2E497DF1"/>
    <w:rsid w:val="307A6987"/>
    <w:rsid w:val="32472899"/>
    <w:rsid w:val="35523A2F"/>
    <w:rsid w:val="3720190B"/>
    <w:rsid w:val="3B677B08"/>
    <w:rsid w:val="3F0E754D"/>
    <w:rsid w:val="3F70501D"/>
    <w:rsid w:val="412F731A"/>
    <w:rsid w:val="42621029"/>
    <w:rsid w:val="447B4624"/>
    <w:rsid w:val="496E6505"/>
    <w:rsid w:val="4AEC1DD8"/>
    <w:rsid w:val="4B0233A9"/>
    <w:rsid w:val="4D151ABA"/>
    <w:rsid w:val="4FFD05E3"/>
    <w:rsid w:val="52B753C1"/>
    <w:rsid w:val="539A2A68"/>
    <w:rsid w:val="5BF907F8"/>
    <w:rsid w:val="5D1F7DEB"/>
    <w:rsid w:val="5DEB5F1F"/>
    <w:rsid w:val="603242D9"/>
    <w:rsid w:val="622163B3"/>
    <w:rsid w:val="64C149A9"/>
    <w:rsid w:val="667C1E0A"/>
    <w:rsid w:val="669453A6"/>
    <w:rsid w:val="676A6106"/>
    <w:rsid w:val="6841330B"/>
    <w:rsid w:val="68B25FB7"/>
    <w:rsid w:val="6AEA1A38"/>
    <w:rsid w:val="6FB72105"/>
    <w:rsid w:val="70F25AEA"/>
    <w:rsid w:val="77F35CA4"/>
    <w:rsid w:val="787119EB"/>
    <w:rsid w:val="78815643"/>
    <w:rsid w:val="7AF1471D"/>
    <w:rsid w:val="7DAE4B47"/>
    <w:rsid w:val="7F6C6A68"/>
    <w:rsid w:val="7FB328E9"/>
    <w:rsid w:val="7FCA1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C9B605"/>
  <w15:docId w15:val="{16E55927-C24F-4300-B2A6-A8B5D3760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pPr>
      <w:spacing w:line="360" w:lineRule="auto"/>
      <w:ind w:firstLineChars="200" w:firstLine="480"/>
    </w:pPr>
    <w:rPr>
      <w:rFonts w:ascii="仿宋_GB2312"/>
      <w:sz w:val="24"/>
    </w:rPr>
  </w:style>
  <w:style w:type="paragraph" w:styleId="a4">
    <w:name w:val="footer"/>
    <w:basedOn w:val="a"/>
    <w:link w:val="a5"/>
    <w:pPr>
      <w:tabs>
        <w:tab w:val="center" w:pos="4153"/>
        <w:tab w:val="right" w:pos="8306"/>
      </w:tabs>
      <w:snapToGrid w:val="0"/>
      <w:jc w:val="left"/>
    </w:pPr>
    <w:rPr>
      <w:sz w:val="18"/>
      <w:szCs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a8">
    <w:name w:val="Normal (Web)"/>
    <w:basedOn w:val="a"/>
    <w:qFormat/>
    <w:pPr>
      <w:spacing w:beforeAutospacing="1" w:afterAutospacing="1"/>
      <w:jc w:val="left"/>
    </w:pPr>
    <w:rPr>
      <w:kern w:val="0"/>
      <w:sz w:val="24"/>
    </w:rPr>
  </w:style>
  <w:style w:type="character" w:customStyle="1" w:styleId="a7">
    <w:name w:val="页眉 字符"/>
    <w:basedOn w:val="a0"/>
    <w:link w:val="a6"/>
    <w:qFormat/>
    <w:rPr>
      <w:rFonts w:ascii="Calibri" w:hAnsi="Calibri"/>
      <w:kern w:val="2"/>
      <w:sz w:val="18"/>
      <w:szCs w:val="18"/>
    </w:rPr>
  </w:style>
  <w:style w:type="character" w:customStyle="1" w:styleId="a5">
    <w:name w:val="页脚 字符"/>
    <w:basedOn w:val="a0"/>
    <w:link w:val="a4"/>
    <w:qFormat/>
    <w:rPr>
      <w:rFonts w:ascii="Calibri" w:hAnsi="Calibri"/>
      <w:kern w:val="2"/>
      <w:sz w:val="18"/>
      <w:szCs w:val="18"/>
    </w:rPr>
  </w:style>
  <w:style w:type="paragraph" w:styleId="a9">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533</Words>
  <Characters>3042</Characters>
  <Application>Microsoft Office Word</Application>
  <DocSecurity>0</DocSecurity>
  <Lines>25</Lines>
  <Paragraphs>7</Paragraphs>
  <ScaleCrop>false</ScaleCrop>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钟凯莉</dc:creator>
  <cp:lastModifiedBy>yu mao</cp:lastModifiedBy>
  <cp:revision>9</cp:revision>
  <cp:lastPrinted>2024-12-10T03:13:00Z</cp:lastPrinted>
  <dcterms:created xsi:type="dcterms:W3CDTF">2024-12-06T03:43:00Z</dcterms:created>
  <dcterms:modified xsi:type="dcterms:W3CDTF">2024-12-15T12:35:00Z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48BA871132394322BD34BD9E02BBB1E7_13</vt:lpwstr>
  </property>
</Properties>
</file>