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A4AB83"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一、项目名称</w:t>
      </w:r>
    </w:p>
    <w:p w14:paraId="5754B0E8" w14:textId="77777777" w:rsidR="00DB04BE"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中国居民膳食反式脂肪酸风险评估及工业化控制关键技术与应用</w:t>
      </w:r>
    </w:p>
    <w:p w14:paraId="671398D5"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二、提名单位（或专家）、奖种与等级</w:t>
      </w:r>
    </w:p>
    <w:p w14:paraId="75DB1A70" w14:textId="77777777" w:rsidR="00DB04BE"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1、提名单位：江西省教育厅</w:t>
      </w:r>
    </w:p>
    <w:p w14:paraId="71922C93" w14:textId="335E7BC7" w:rsidR="00DB04BE"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2、奖种：江西省</w:t>
      </w:r>
      <w:r w:rsidR="008A432E">
        <w:rPr>
          <w:rFonts w:ascii="仿宋_GB2312" w:eastAsia="仿宋_GB2312" w:hAnsi="宋体" w:hint="eastAsia"/>
          <w:sz w:val="28"/>
          <w:szCs w:val="28"/>
        </w:rPr>
        <w:t>科学技术</w:t>
      </w:r>
      <w:r>
        <w:rPr>
          <w:rFonts w:ascii="仿宋_GB2312" w:eastAsia="仿宋_GB2312" w:hAnsi="宋体" w:hint="eastAsia"/>
          <w:sz w:val="28"/>
          <w:szCs w:val="28"/>
        </w:rPr>
        <w:t>进步奖</w:t>
      </w:r>
    </w:p>
    <w:p w14:paraId="0FC50734" w14:textId="77777777" w:rsidR="00DB04BE" w:rsidRDefault="00000000">
      <w:pPr>
        <w:spacing w:line="560" w:lineRule="exact"/>
        <w:rPr>
          <w:rFonts w:ascii="仿宋_GB2312" w:eastAsia="仿宋_GB2312" w:hAnsi="宋体" w:hint="eastAsia"/>
          <w:sz w:val="28"/>
          <w:szCs w:val="28"/>
        </w:rPr>
      </w:pPr>
      <w:r>
        <w:rPr>
          <w:rFonts w:ascii="仿宋_GB2312" w:eastAsia="仿宋_GB2312" w:hAnsi="宋体" w:hint="eastAsia"/>
          <w:sz w:val="28"/>
          <w:szCs w:val="28"/>
        </w:rPr>
        <w:t>3、等级：一等奖</w:t>
      </w:r>
    </w:p>
    <w:p w14:paraId="14B21CDA"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三、提名意见</w:t>
      </w:r>
    </w:p>
    <w:p w14:paraId="4EF44F28" w14:textId="02151952" w:rsidR="00DB04BE" w:rsidRDefault="00000000" w:rsidP="008A432E">
      <w:pPr>
        <w:spacing w:line="560" w:lineRule="exact"/>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该项目受国家部委委托，</w:t>
      </w:r>
      <w:proofErr w:type="gramStart"/>
      <w:r>
        <w:rPr>
          <w:rFonts w:ascii="Times New Roman Regular" w:eastAsia="仿宋_GB2312" w:hAnsi="Times New Roman Regular" w:cs="Times New Roman Regular"/>
          <w:sz w:val="28"/>
          <w:szCs w:val="28"/>
        </w:rPr>
        <w:t>首次并</w:t>
      </w:r>
      <w:proofErr w:type="gramEnd"/>
      <w:r>
        <w:rPr>
          <w:rFonts w:ascii="Times New Roman Regular" w:eastAsia="仿宋_GB2312" w:hAnsi="Times New Roman Regular" w:cs="Times New Roman Regular"/>
          <w:sz w:val="28"/>
          <w:szCs w:val="28"/>
        </w:rPr>
        <w:t>持续性开展了多次全国性中国居民反式脂肪酸（</w:t>
      </w:r>
      <w:r>
        <w:rPr>
          <w:rFonts w:ascii="Times New Roman Regular" w:eastAsia="仿宋_GB2312" w:hAnsi="Times New Roman Regular" w:cs="Times New Roman Regular"/>
          <w:sz w:val="28"/>
          <w:szCs w:val="28"/>
        </w:rPr>
        <w:t>TFA</w:t>
      </w:r>
      <w:r>
        <w:rPr>
          <w:rFonts w:ascii="Times New Roman Regular" w:eastAsia="仿宋_GB2312" w:hAnsi="Times New Roman Regular" w:cs="Times New Roman Regular"/>
          <w:sz w:val="28"/>
          <w:szCs w:val="28"/>
        </w:rPr>
        <w:t>）摄入量调查及风险评估；探明了不同来源</w:t>
      </w:r>
      <w:r>
        <w:rPr>
          <w:rFonts w:ascii="Times New Roman Regular" w:eastAsia="仿宋_GB2312" w:hAnsi="Times New Roman Regular" w:cs="Times New Roman Regular"/>
          <w:sz w:val="28"/>
          <w:szCs w:val="28"/>
        </w:rPr>
        <w:t>TFA</w:t>
      </w:r>
      <w:r>
        <w:rPr>
          <w:rFonts w:ascii="Times New Roman Regular" w:eastAsia="仿宋_GB2312" w:hAnsi="Times New Roman Regular" w:cs="Times New Roman Regular"/>
          <w:sz w:val="28"/>
          <w:szCs w:val="28"/>
        </w:rPr>
        <w:t>与心血管健康的关系与机制；创新双塔双温脱臭技术，集成了原料控制、酶法脱胶耦合物理脱酸、适温</w:t>
      </w:r>
      <w:proofErr w:type="gramStart"/>
      <w:r>
        <w:rPr>
          <w:rFonts w:ascii="Times New Roman Regular" w:eastAsia="仿宋_GB2312" w:hAnsi="Times New Roman Regular" w:cs="Times New Roman Regular"/>
          <w:sz w:val="28"/>
          <w:szCs w:val="28"/>
        </w:rPr>
        <w:t>长混轻度</w:t>
      </w:r>
      <w:proofErr w:type="gramEnd"/>
      <w:r>
        <w:rPr>
          <w:rFonts w:ascii="Times New Roman Regular" w:eastAsia="仿宋_GB2312" w:hAnsi="Times New Roman Regular" w:cs="Times New Roman Regular"/>
          <w:sz w:val="28"/>
          <w:szCs w:val="28"/>
        </w:rPr>
        <w:t>碱炼、两步脱色、两级捕集技术，实现了零</w:t>
      </w:r>
      <w:proofErr w:type="spellStart"/>
      <w:r>
        <w:rPr>
          <w:rFonts w:ascii="Times New Roman Regular" w:eastAsia="仿宋_GB2312" w:hAnsi="Times New Roman Regular" w:cs="Times New Roman Regular"/>
          <w:sz w:val="28"/>
          <w:szCs w:val="28"/>
        </w:rPr>
        <w:t>TFA</w:t>
      </w:r>
      <w:proofErr w:type="spellEnd"/>
      <w:r>
        <w:rPr>
          <w:rFonts w:ascii="Times New Roman Regular" w:eastAsia="仿宋_GB2312" w:hAnsi="Times New Roman Regular" w:cs="Times New Roman Regular"/>
          <w:sz w:val="28"/>
          <w:szCs w:val="28"/>
        </w:rPr>
        <w:t>高品质食用油的工业化绿色生产关键技术；创制了饲料精准调控牛奶</w:t>
      </w:r>
      <w:r>
        <w:rPr>
          <w:rFonts w:ascii="Times New Roman Regular" w:eastAsia="仿宋_GB2312" w:hAnsi="Times New Roman Regular" w:cs="Times New Roman Regular"/>
          <w:sz w:val="28"/>
          <w:szCs w:val="28"/>
        </w:rPr>
        <w:t>TFA</w:t>
      </w:r>
      <w:r>
        <w:rPr>
          <w:rFonts w:ascii="Times New Roman Regular" w:eastAsia="仿宋_GB2312" w:hAnsi="Times New Roman Regular" w:cs="Times New Roman Regular"/>
          <w:sz w:val="28"/>
          <w:szCs w:val="28"/>
        </w:rPr>
        <w:t>含量的关键技术。成果为国家相关部委提供</w:t>
      </w:r>
      <w:r>
        <w:rPr>
          <w:rFonts w:ascii="Times New Roman Regular" w:eastAsia="仿宋_GB2312" w:hAnsi="Times New Roman Regular" w:cs="Times New Roman Regular"/>
          <w:sz w:val="28"/>
          <w:szCs w:val="28"/>
        </w:rPr>
        <w:t>TFA</w:t>
      </w:r>
      <w:r>
        <w:rPr>
          <w:rFonts w:ascii="Times New Roman Regular" w:eastAsia="仿宋_GB2312" w:hAnsi="Times New Roman Regular" w:cs="Times New Roman Regular"/>
          <w:sz w:val="28"/>
          <w:szCs w:val="28"/>
        </w:rPr>
        <w:t>风险评估报告，为</w:t>
      </w:r>
      <w:r>
        <w:rPr>
          <w:rFonts w:ascii="Times New Roman Regular" w:eastAsia="仿宋_GB2312" w:hAnsi="Times New Roman Regular" w:cs="Times New Roman Regular"/>
          <w:sz w:val="28"/>
          <w:szCs w:val="28"/>
        </w:rPr>
        <w:t>GB28050-2011</w:t>
      </w:r>
      <w:r>
        <w:rPr>
          <w:rFonts w:ascii="Times New Roman Regular" w:eastAsia="仿宋_GB2312" w:hAnsi="Times New Roman Regular" w:cs="Times New Roman Regular"/>
          <w:sz w:val="28"/>
          <w:szCs w:val="28"/>
        </w:rPr>
        <w:t>制定提供了重要依据。获得国家发明专利授权</w:t>
      </w:r>
      <w:r>
        <w:rPr>
          <w:rFonts w:ascii="Times New Roman Regular" w:eastAsia="仿宋_GB2312" w:hAnsi="Times New Roman Regular" w:cs="Times New Roman Regular"/>
          <w:sz w:val="28"/>
          <w:szCs w:val="28"/>
        </w:rPr>
        <w:t>6</w:t>
      </w:r>
      <w:r>
        <w:rPr>
          <w:rFonts w:ascii="Times New Roman Regular" w:eastAsia="仿宋_GB2312" w:hAnsi="Times New Roman Regular" w:cs="Times New Roman Regular"/>
          <w:sz w:val="28"/>
          <w:szCs w:val="28"/>
        </w:rPr>
        <w:t>项，发表论文</w:t>
      </w:r>
      <w:r>
        <w:rPr>
          <w:rFonts w:ascii="Times New Roman Regular" w:eastAsia="仿宋_GB2312" w:hAnsi="Times New Roman Regular" w:cs="Times New Roman Regular"/>
          <w:sz w:val="28"/>
          <w:szCs w:val="28"/>
        </w:rPr>
        <w:t>43</w:t>
      </w:r>
      <w:r>
        <w:rPr>
          <w:rFonts w:ascii="Times New Roman Regular" w:eastAsia="仿宋_GB2312" w:hAnsi="Times New Roman Regular" w:cs="Times New Roman Regular"/>
          <w:sz w:val="28"/>
          <w:szCs w:val="28"/>
        </w:rPr>
        <w:t>篇，制定企业标准</w:t>
      </w: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项，成果相关技术在省内外多家企业进行应用，产生了显著的经济和社会效益。该成果创新性强，总体达到国际同类技术的领先水平。</w:t>
      </w:r>
    </w:p>
    <w:p w14:paraId="0D8D8262" w14:textId="77777777" w:rsidR="00DB04BE" w:rsidRDefault="00DB04BE">
      <w:pPr>
        <w:spacing w:line="560" w:lineRule="exact"/>
        <w:rPr>
          <w:rFonts w:ascii="仿宋_GB2312" w:eastAsia="仿宋_GB2312" w:hAnsi="宋体" w:hint="eastAsia"/>
          <w:b/>
          <w:bCs/>
          <w:sz w:val="32"/>
          <w:szCs w:val="32"/>
        </w:rPr>
      </w:pPr>
    </w:p>
    <w:p w14:paraId="08CF9CB5"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四、项目简介</w:t>
      </w:r>
    </w:p>
    <w:p w14:paraId="1FBB7A96" w14:textId="77777777" w:rsidR="00DB04BE" w:rsidRDefault="00000000">
      <w:pPr>
        <w:spacing w:line="560" w:lineRule="exact"/>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反式脂肪酸（</w:t>
      </w:r>
      <w:r>
        <w:rPr>
          <w:rFonts w:ascii="Times New Roman Regular" w:eastAsia="仿宋_GB2312" w:hAnsi="Times New Roman Regular" w:cs="Times New Roman Regular"/>
          <w:sz w:val="28"/>
          <w:szCs w:val="28"/>
        </w:rPr>
        <w:t>TFA</w:t>
      </w:r>
      <w:r>
        <w:rPr>
          <w:rFonts w:ascii="Times New Roman Regular" w:eastAsia="仿宋_GB2312" w:hAnsi="Times New Roman Regular" w:cs="Times New Roman Regular"/>
          <w:sz w:val="28"/>
          <w:szCs w:val="28"/>
        </w:rPr>
        <w:t>）是碳链上含有一个或以上非</w:t>
      </w:r>
      <w:proofErr w:type="gramStart"/>
      <w:r>
        <w:rPr>
          <w:rFonts w:ascii="Times New Roman Regular" w:eastAsia="仿宋_GB2312" w:hAnsi="Times New Roman Regular" w:cs="Times New Roman Regular"/>
          <w:sz w:val="28"/>
          <w:szCs w:val="28"/>
        </w:rPr>
        <w:t>共轭反式</w:t>
      </w:r>
      <w:proofErr w:type="gramEnd"/>
      <w:r>
        <w:rPr>
          <w:rFonts w:ascii="Times New Roman Regular" w:eastAsia="仿宋_GB2312" w:hAnsi="Times New Roman Regular" w:cs="Times New Roman Regular"/>
          <w:sz w:val="28"/>
          <w:szCs w:val="28"/>
        </w:rPr>
        <w:t>双键的不饱和脂肪酸及所有异构体的总称。食品中的</w:t>
      </w:r>
      <w:r>
        <w:rPr>
          <w:rFonts w:ascii="Times New Roman Regular" w:eastAsia="仿宋_GB2312" w:hAnsi="Times New Roman Regular" w:cs="Times New Roman Regular"/>
          <w:sz w:val="28"/>
          <w:szCs w:val="28"/>
        </w:rPr>
        <w:t xml:space="preserve"> TFA </w:t>
      </w:r>
      <w:r>
        <w:rPr>
          <w:rFonts w:ascii="Times New Roman Regular" w:eastAsia="仿宋_GB2312" w:hAnsi="Times New Roman Regular" w:cs="Times New Roman Regular"/>
          <w:sz w:val="28"/>
          <w:szCs w:val="28"/>
        </w:rPr>
        <w:t>有两种来源，即天然来源和加工来源；工业来源反式脂肪酸主要来自部分氢化油、精炼植物油和高温烹饪加工，加工来源反式脂肪酸主要来自反刍动物瘤胃中细菌的微生物转化。研究证实，工业来源反式脂肪酸摄入量每增</w:t>
      </w:r>
      <w:r>
        <w:rPr>
          <w:rFonts w:ascii="Times New Roman Regular" w:eastAsia="仿宋_GB2312" w:hAnsi="Times New Roman Regular" w:cs="Times New Roman Regular"/>
          <w:sz w:val="28"/>
          <w:szCs w:val="28"/>
        </w:rPr>
        <w:lastRenderedPageBreak/>
        <w:t>加</w:t>
      </w: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能量就会导致冠心病发病率增加</w:t>
      </w:r>
      <w:r>
        <w:rPr>
          <w:rFonts w:ascii="Times New Roman Regular" w:eastAsia="仿宋_GB2312" w:hAnsi="Times New Roman Regular" w:cs="Times New Roman Regular"/>
          <w:sz w:val="28"/>
          <w:szCs w:val="28"/>
        </w:rPr>
        <w:t>23%</w:t>
      </w:r>
      <w:r>
        <w:rPr>
          <w:rFonts w:ascii="Times New Roman Regular" w:eastAsia="仿宋_GB2312" w:hAnsi="Times New Roman Regular" w:cs="Times New Roman Regular"/>
          <w:sz w:val="28"/>
          <w:szCs w:val="28"/>
        </w:rPr>
        <w:t>，这严重影响到人类健康，并产生巨额医疗费用，造成医疗负担。因此，许多国家已出台了限制食品中反式脂肪酸含量的法规。但中国居民反式脂肪酸摄入量不明确、不同来源反式脂肪酸对心血管疾病影响及其机制不清、植物油常规精炼技术易产生反式脂肪酸、乳制品反式脂肪酸调控技术处于空白，针对以上问题，本项目开展并完成了以下工作：</w:t>
      </w:r>
    </w:p>
    <w:p w14:paraId="765A941F" w14:textId="77777777" w:rsidR="00DB04BE" w:rsidRDefault="00000000">
      <w:pPr>
        <w:spacing w:line="560" w:lineRule="exact"/>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1</w:t>
      </w:r>
      <w:r>
        <w:rPr>
          <w:rFonts w:ascii="Times New Roman Regular" w:eastAsia="仿宋_GB2312" w:hAnsi="Times New Roman Regular" w:cs="Times New Roman Regular"/>
          <w:sz w:val="28"/>
          <w:szCs w:val="28"/>
        </w:rPr>
        <w:t>、受原国家食品药品监督管理局和原卫生部国家食品安全风险评估中心委托，先后开展了三次全国性、系统性的中国居民反式脂肪酸摄入量调查及风险评估，获得了中国食物反式脂肪酸的主要分布数据、中国居民反式脂肪酸摄入量和摄入来源，并进行了风险评估（相关数据已由原卫生部正式发布）。</w:t>
      </w:r>
    </w:p>
    <w:p w14:paraId="0BF15BFB" w14:textId="77777777" w:rsidR="00DB04BE" w:rsidRDefault="00000000">
      <w:pPr>
        <w:spacing w:line="560" w:lineRule="exact"/>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2</w:t>
      </w:r>
      <w:r>
        <w:rPr>
          <w:rFonts w:ascii="Times New Roman Regular" w:eastAsia="仿宋_GB2312" w:hAnsi="Times New Roman Regular" w:cs="Times New Roman Regular"/>
          <w:sz w:val="28"/>
          <w:szCs w:val="28"/>
        </w:rPr>
        <w:t>、项目组首次报道了中国心血管疾病人群和健康人群红细胞</w:t>
      </w:r>
      <w:proofErr w:type="gramStart"/>
      <w:r>
        <w:rPr>
          <w:rFonts w:ascii="Times New Roman Regular" w:eastAsia="仿宋_GB2312" w:hAnsi="Times New Roman Regular" w:cs="Times New Roman Regular"/>
          <w:sz w:val="28"/>
          <w:szCs w:val="28"/>
        </w:rPr>
        <w:t>膜反式</w:t>
      </w:r>
      <w:proofErr w:type="gramEnd"/>
      <w:r>
        <w:rPr>
          <w:rFonts w:ascii="Times New Roman Regular" w:eastAsia="仿宋_GB2312" w:hAnsi="Times New Roman Regular" w:cs="Times New Roman Regular"/>
          <w:sz w:val="28"/>
          <w:szCs w:val="28"/>
        </w:rPr>
        <w:t>脂肪酸模式的差异，率先研究了工业源和反刍动物</w:t>
      </w:r>
      <w:proofErr w:type="gramStart"/>
      <w:r>
        <w:rPr>
          <w:rFonts w:ascii="Times New Roman Regular" w:eastAsia="仿宋_GB2312" w:hAnsi="Times New Roman Regular" w:cs="Times New Roman Regular"/>
          <w:sz w:val="28"/>
          <w:szCs w:val="28"/>
        </w:rPr>
        <w:t>源反式</w:t>
      </w:r>
      <w:proofErr w:type="gramEnd"/>
      <w:r>
        <w:rPr>
          <w:rFonts w:ascii="Times New Roman Regular" w:eastAsia="仿宋_GB2312" w:hAnsi="Times New Roman Regular" w:cs="Times New Roman Regular"/>
          <w:sz w:val="28"/>
          <w:szCs w:val="28"/>
        </w:rPr>
        <w:t>脂肪酸（</w:t>
      </w:r>
      <w:r>
        <w:rPr>
          <w:rFonts w:ascii="Times New Roman Regular" w:eastAsia="仿宋_GB2312" w:hAnsi="Times New Roman Regular" w:cs="Times New Roman Regular"/>
          <w:sz w:val="28"/>
          <w:szCs w:val="28"/>
        </w:rPr>
        <w:t>11t18:1</w:t>
      </w:r>
      <w:r>
        <w:rPr>
          <w:rFonts w:ascii="Times New Roman Regular" w:eastAsia="仿宋_GB2312" w:hAnsi="Times New Roman Regular" w:cs="Times New Roman Regular"/>
          <w:sz w:val="28"/>
          <w:szCs w:val="28"/>
        </w:rPr>
        <w:t>和</w:t>
      </w:r>
      <w:r>
        <w:rPr>
          <w:rFonts w:ascii="Times New Roman Regular" w:eastAsia="仿宋_GB2312" w:hAnsi="Times New Roman Regular" w:cs="Times New Roman Regular"/>
          <w:sz w:val="28"/>
          <w:szCs w:val="28"/>
        </w:rPr>
        <w:t>9t16:1</w:t>
      </w:r>
      <w:r>
        <w:rPr>
          <w:rFonts w:ascii="Times New Roman Regular" w:eastAsia="仿宋_GB2312" w:hAnsi="Times New Roman Regular" w:cs="Times New Roman Regular"/>
          <w:sz w:val="28"/>
          <w:szCs w:val="28"/>
        </w:rPr>
        <w:t>）对心血管健康影响及其机制，</w:t>
      </w:r>
      <w:proofErr w:type="gramStart"/>
      <w:r>
        <w:rPr>
          <w:rFonts w:ascii="Times New Roman Regular" w:eastAsia="仿宋_GB2312" w:hAnsi="Times New Roman Regular" w:cs="Times New Roman Regular"/>
          <w:sz w:val="28"/>
          <w:szCs w:val="28"/>
        </w:rPr>
        <w:t>提出低</w:t>
      </w:r>
      <w:proofErr w:type="gramEnd"/>
      <w:r>
        <w:rPr>
          <w:rFonts w:ascii="Times New Roman Regular" w:eastAsia="仿宋_GB2312" w:hAnsi="Times New Roman Regular" w:cs="Times New Roman Regular"/>
          <w:sz w:val="28"/>
          <w:szCs w:val="28"/>
        </w:rPr>
        <w:t>剂量（</w:t>
      </w:r>
      <w:r>
        <w:rPr>
          <w:rFonts w:ascii="Times New Roman Regular" w:eastAsia="仿宋_GB2312" w:hAnsi="Times New Roman Regular" w:cs="Times New Roman Regular"/>
          <w:sz w:val="28"/>
          <w:szCs w:val="28"/>
        </w:rPr>
        <w:t>0.11~0.15%E</w:t>
      </w:r>
      <w:r>
        <w:rPr>
          <w:rFonts w:ascii="Times New Roman Regular" w:eastAsia="仿宋_GB2312" w:hAnsi="Times New Roman Regular" w:cs="Times New Roman Regular"/>
          <w:sz w:val="28"/>
          <w:szCs w:val="28"/>
        </w:rPr>
        <w:t>）反刍动物</w:t>
      </w:r>
      <w:proofErr w:type="gramStart"/>
      <w:r>
        <w:rPr>
          <w:rFonts w:ascii="Times New Roman Regular" w:eastAsia="仿宋_GB2312" w:hAnsi="Times New Roman Regular" w:cs="Times New Roman Regular"/>
          <w:sz w:val="28"/>
          <w:szCs w:val="28"/>
        </w:rPr>
        <w:t>源反式</w:t>
      </w:r>
      <w:proofErr w:type="gramEnd"/>
      <w:r>
        <w:rPr>
          <w:rFonts w:ascii="Times New Roman Regular" w:eastAsia="仿宋_GB2312" w:hAnsi="Times New Roman Regular" w:cs="Times New Roman Regular"/>
          <w:sz w:val="28"/>
          <w:szCs w:val="28"/>
        </w:rPr>
        <w:t>脂肪酸可改善脂质代谢紊乱及其机制，创制了饲料精准调控反刍动物制品中反式脂肪酸含量的关键技术。</w:t>
      </w:r>
    </w:p>
    <w:p w14:paraId="45626342" w14:textId="77777777" w:rsidR="00DB04BE" w:rsidRDefault="00000000">
      <w:pPr>
        <w:spacing w:line="560" w:lineRule="exact"/>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t>3</w:t>
      </w:r>
      <w:r>
        <w:rPr>
          <w:rFonts w:ascii="Times New Roman Regular" w:eastAsia="仿宋_GB2312" w:hAnsi="Times New Roman Regular" w:cs="Times New Roman Regular"/>
          <w:sz w:val="28"/>
          <w:szCs w:val="28"/>
        </w:rPr>
        <w:t>、创新双塔双温脱臭技术，集成了原料控制、酶法脱胶耦合物理脱酸、适温</w:t>
      </w:r>
      <w:proofErr w:type="gramStart"/>
      <w:r>
        <w:rPr>
          <w:rFonts w:ascii="Times New Roman Regular" w:eastAsia="仿宋_GB2312" w:hAnsi="Times New Roman Regular" w:cs="Times New Roman Regular"/>
          <w:sz w:val="28"/>
          <w:szCs w:val="28"/>
        </w:rPr>
        <w:t>长混轻度</w:t>
      </w:r>
      <w:proofErr w:type="gramEnd"/>
      <w:r>
        <w:rPr>
          <w:rFonts w:ascii="Times New Roman Regular" w:eastAsia="仿宋_GB2312" w:hAnsi="Times New Roman Regular" w:cs="Times New Roman Regular"/>
          <w:sz w:val="28"/>
          <w:szCs w:val="28"/>
        </w:rPr>
        <w:t>碱炼、两步脱色、两级捕集技术，实现了食用油</w:t>
      </w:r>
      <w:proofErr w:type="gramStart"/>
      <w:r>
        <w:rPr>
          <w:rFonts w:ascii="Times New Roman Regular" w:eastAsia="仿宋_GB2312" w:hAnsi="Times New Roman Regular" w:cs="Times New Roman Regular"/>
          <w:sz w:val="28"/>
          <w:szCs w:val="28"/>
        </w:rPr>
        <w:t>零反式</w:t>
      </w:r>
      <w:proofErr w:type="gramEnd"/>
      <w:r>
        <w:rPr>
          <w:rFonts w:ascii="Times New Roman Regular" w:eastAsia="仿宋_GB2312" w:hAnsi="Times New Roman Regular" w:cs="Times New Roman Regular"/>
          <w:sz w:val="28"/>
          <w:szCs w:val="28"/>
        </w:rPr>
        <w:t>脂肪酸、高脂溶性伴随物保留率、低污染物、节能减排绿色制备关键技术：</w:t>
      </w:r>
      <w:r>
        <w:rPr>
          <w:rFonts w:ascii="Times New Roman Regular" w:eastAsia="仿宋_GB2312" w:hAnsi="Times New Roman Regular" w:cs="Times New Roman Regular"/>
          <w:sz w:val="28"/>
          <w:szCs w:val="28"/>
        </w:rPr>
        <w:t>①</w:t>
      </w:r>
      <w:r>
        <w:rPr>
          <w:rFonts w:ascii="Times New Roman Regular" w:eastAsia="仿宋_GB2312" w:hAnsi="Times New Roman Regular" w:cs="Times New Roman Regular"/>
          <w:sz w:val="28"/>
          <w:szCs w:val="28"/>
        </w:rPr>
        <w:t>反式脂肪酸</w:t>
      </w:r>
      <w:r>
        <w:rPr>
          <w:rFonts w:ascii="Times New Roman Regular" w:eastAsia="仿宋_GB2312" w:hAnsi="Times New Roman Regular" w:cs="Times New Roman Regular"/>
          <w:sz w:val="28"/>
          <w:szCs w:val="28"/>
        </w:rPr>
        <w:t>≤0.3%</w:t>
      </w:r>
      <w:r>
        <w:rPr>
          <w:rFonts w:ascii="Times New Roman Regular" w:eastAsia="仿宋_GB2312" w:hAnsi="Times New Roman Regular" w:cs="Times New Roman Regular"/>
          <w:sz w:val="28"/>
          <w:szCs w:val="28"/>
        </w:rPr>
        <w:t>（</w:t>
      </w:r>
      <w:proofErr w:type="gramStart"/>
      <w:r>
        <w:rPr>
          <w:rFonts w:ascii="Times New Roman Regular" w:eastAsia="仿宋_GB2312" w:hAnsi="Times New Roman Regular" w:cs="Times New Roman Regular"/>
          <w:sz w:val="28"/>
          <w:szCs w:val="28"/>
        </w:rPr>
        <w:t>零反式</w:t>
      </w:r>
      <w:proofErr w:type="gramEnd"/>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②VE</w:t>
      </w:r>
      <w:r>
        <w:rPr>
          <w:rFonts w:ascii="Times New Roman Regular" w:eastAsia="仿宋_GB2312" w:hAnsi="Times New Roman Regular" w:cs="Times New Roman Regular"/>
          <w:sz w:val="28"/>
          <w:szCs w:val="28"/>
        </w:rPr>
        <w:t>、甾醇、谷维素保留率</w:t>
      </w:r>
      <w:r>
        <w:rPr>
          <w:rFonts w:ascii="Times New Roman Regular" w:eastAsia="仿宋_GB2312" w:hAnsi="Times New Roman Regular" w:cs="Times New Roman Regular"/>
          <w:sz w:val="28"/>
          <w:szCs w:val="28"/>
        </w:rPr>
        <w:t>≥80%</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③3-</w:t>
      </w:r>
      <w:r>
        <w:rPr>
          <w:rFonts w:ascii="Times New Roman Regular" w:eastAsia="仿宋_GB2312" w:hAnsi="Times New Roman Regular" w:cs="Times New Roman Regular"/>
          <w:sz w:val="28"/>
          <w:szCs w:val="28"/>
        </w:rPr>
        <w:t>氯</w:t>
      </w:r>
      <w:r>
        <w:rPr>
          <w:rFonts w:ascii="Times New Roman Regular" w:eastAsia="仿宋_GB2312" w:hAnsi="Times New Roman Regular" w:cs="Times New Roman Regular"/>
          <w:sz w:val="28"/>
          <w:szCs w:val="28"/>
        </w:rPr>
        <w:t>-1,2-</w:t>
      </w:r>
      <w:r>
        <w:rPr>
          <w:rFonts w:ascii="Times New Roman Regular" w:eastAsia="仿宋_GB2312" w:hAnsi="Times New Roman Regular" w:cs="Times New Roman Regular"/>
          <w:sz w:val="28"/>
          <w:szCs w:val="28"/>
        </w:rPr>
        <w:t>丙二醇</w:t>
      </w:r>
      <w:r>
        <w:rPr>
          <w:rFonts w:ascii="Times New Roman Regular" w:eastAsia="仿宋_GB2312" w:hAnsi="Times New Roman Regular" w:cs="Times New Roman Regular"/>
          <w:sz w:val="28"/>
          <w:szCs w:val="28"/>
        </w:rPr>
        <w:t>≤1 mg/kg</w:t>
      </w:r>
      <w:r>
        <w:rPr>
          <w:rFonts w:ascii="Times New Roman Regular" w:eastAsia="仿宋_GB2312" w:hAnsi="Times New Roman Regular" w:cs="Times New Roman Regular"/>
          <w:sz w:val="28"/>
          <w:szCs w:val="28"/>
        </w:rPr>
        <w:t>，缩水甘油脂肪酸酯</w:t>
      </w:r>
      <w:r>
        <w:rPr>
          <w:rFonts w:ascii="Times New Roman Regular" w:eastAsia="仿宋_GB2312" w:hAnsi="Times New Roman Regular" w:cs="Times New Roman Regular"/>
          <w:sz w:val="28"/>
          <w:szCs w:val="28"/>
        </w:rPr>
        <w:t>≤1 mg/kg</w:t>
      </w:r>
      <w:r>
        <w:rPr>
          <w:rFonts w:ascii="Times New Roman Regular" w:eastAsia="仿宋_GB2312" w:hAnsi="Times New Roman Regular" w:cs="Times New Roman Regular"/>
          <w:sz w:val="28"/>
          <w:szCs w:val="28"/>
        </w:rPr>
        <w:t>，苯并</w:t>
      </w:r>
      <w:proofErr w:type="gramStart"/>
      <w:r>
        <w:rPr>
          <w:rFonts w:ascii="Times New Roman Regular" w:eastAsia="仿宋_GB2312" w:hAnsi="Times New Roman Regular" w:cs="Times New Roman Regular"/>
          <w:sz w:val="28"/>
          <w:szCs w:val="28"/>
        </w:rPr>
        <w:t>芘</w:t>
      </w:r>
      <w:proofErr w:type="gramEnd"/>
      <w:r>
        <w:rPr>
          <w:rFonts w:ascii="Times New Roman Regular" w:eastAsia="仿宋_GB2312" w:hAnsi="Times New Roman Regular" w:cs="Times New Roman Regular"/>
          <w:sz w:val="28"/>
          <w:szCs w:val="28"/>
        </w:rPr>
        <w:t xml:space="preserve">≤ 2 </w:t>
      </w:r>
      <w:proofErr w:type="spellStart"/>
      <w:r>
        <w:rPr>
          <w:rFonts w:ascii="Times New Roman Regular" w:eastAsia="仿宋_GB2312" w:hAnsi="Times New Roman Regular" w:cs="Times New Roman Regular"/>
          <w:sz w:val="28"/>
          <w:szCs w:val="28"/>
        </w:rPr>
        <w:t>μg</w:t>
      </w:r>
      <w:proofErr w:type="spellEnd"/>
      <w:r>
        <w:rPr>
          <w:rFonts w:ascii="Times New Roman Regular" w:eastAsia="仿宋_GB2312" w:hAnsi="Times New Roman Regular" w:cs="Times New Roman Regular"/>
          <w:sz w:val="28"/>
          <w:szCs w:val="28"/>
        </w:rPr>
        <w:t>/kg</w:t>
      </w:r>
      <w:r>
        <w:rPr>
          <w:rFonts w:ascii="Times New Roman Regular" w:eastAsia="仿宋_GB2312" w:hAnsi="Times New Roman Regular" w:cs="Times New Roman Regular"/>
          <w:sz w:val="28"/>
          <w:szCs w:val="28"/>
        </w:rPr>
        <w:t>，黄曲霉毒素</w:t>
      </w:r>
      <w:r>
        <w:rPr>
          <w:rFonts w:ascii="Times New Roman Regular" w:eastAsia="仿宋_GB2312" w:hAnsi="Times New Roman Regular" w:cs="Times New Roman Regular"/>
          <w:sz w:val="28"/>
          <w:szCs w:val="28"/>
        </w:rPr>
        <w:t xml:space="preserve">≤ 10 </w:t>
      </w:r>
      <w:proofErr w:type="spellStart"/>
      <w:r>
        <w:rPr>
          <w:rFonts w:ascii="Times New Roman Regular" w:eastAsia="仿宋_GB2312" w:hAnsi="Times New Roman Regular" w:cs="Times New Roman Regular"/>
          <w:sz w:val="28"/>
          <w:szCs w:val="28"/>
        </w:rPr>
        <w:t>μg</w:t>
      </w:r>
      <w:proofErr w:type="spellEnd"/>
      <w:r>
        <w:rPr>
          <w:rFonts w:ascii="Times New Roman Regular" w:eastAsia="仿宋_GB2312" w:hAnsi="Times New Roman Regular" w:cs="Times New Roman Regular"/>
          <w:sz w:val="28"/>
          <w:szCs w:val="28"/>
        </w:rPr>
        <w:t>/kg</w:t>
      </w:r>
      <w:r>
        <w:rPr>
          <w:rFonts w:ascii="Times New Roman Regular" w:eastAsia="仿宋_GB2312" w:hAnsi="Times New Roman Regular" w:cs="Times New Roman Regular"/>
          <w:sz w:val="28"/>
          <w:szCs w:val="28"/>
        </w:rPr>
        <w:t>，玉米油</w:t>
      </w:r>
      <w:proofErr w:type="gramStart"/>
      <w:r>
        <w:rPr>
          <w:rFonts w:ascii="Times New Roman Regular" w:eastAsia="仿宋_GB2312" w:hAnsi="Times New Roman Regular" w:cs="Times New Roman Regular"/>
          <w:sz w:val="28"/>
          <w:szCs w:val="28"/>
        </w:rPr>
        <w:t>赤</w:t>
      </w:r>
      <w:proofErr w:type="gramEnd"/>
      <w:r>
        <w:rPr>
          <w:rFonts w:ascii="Times New Roman Regular" w:eastAsia="仿宋_GB2312" w:hAnsi="Times New Roman Regular" w:cs="Times New Roman Regular"/>
          <w:sz w:val="28"/>
          <w:szCs w:val="28"/>
        </w:rPr>
        <w:t>霉烯酮</w:t>
      </w:r>
      <w:r>
        <w:rPr>
          <w:rFonts w:ascii="Times New Roman Regular" w:eastAsia="仿宋_GB2312" w:hAnsi="Times New Roman Regular" w:cs="Times New Roman Regular"/>
          <w:sz w:val="28"/>
          <w:szCs w:val="28"/>
        </w:rPr>
        <w:t xml:space="preserve">≤300 </w:t>
      </w:r>
      <w:proofErr w:type="spellStart"/>
      <w:r>
        <w:rPr>
          <w:rFonts w:ascii="Times New Roman Regular" w:eastAsia="仿宋_GB2312" w:hAnsi="Times New Roman Regular" w:cs="Times New Roman Regular"/>
          <w:sz w:val="28"/>
          <w:szCs w:val="28"/>
        </w:rPr>
        <w:t>μg</w:t>
      </w:r>
      <w:proofErr w:type="spellEnd"/>
      <w:r>
        <w:rPr>
          <w:rFonts w:ascii="Times New Roman Regular" w:eastAsia="仿宋_GB2312" w:hAnsi="Times New Roman Regular" w:cs="Times New Roman Regular"/>
          <w:sz w:val="28"/>
          <w:szCs w:val="28"/>
        </w:rPr>
        <w:t>/kg</w:t>
      </w:r>
      <w:r>
        <w:rPr>
          <w:rFonts w:ascii="Times New Roman Regular" w:eastAsia="仿宋_GB2312" w:hAnsi="Times New Roman Regular" w:cs="Times New Roman Regular"/>
          <w:sz w:val="28"/>
          <w:szCs w:val="28"/>
        </w:rPr>
        <w:t>；</w:t>
      </w:r>
      <w:r>
        <w:rPr>
          <w:rFonts w:ascii="Times New Roman Regular" w:eastAsia="仿宋_GB2312" w:hAnsi="Times New Roman Regular" w:cs="Times New Roman Regular"/>
          <w:sz w:val="28"/>
          <w:szCs w:val="28"/>
        </w:rPr>
        <w:t>④</w:t>
      </w:r>
      <w:r>
        <w:rPr>
          <w:rFonts w:ascii="Times New Roman Regular" w:eastAsia="仿宋_GB2312" w:hAnsi="Times New Roman Regular" w:cs="Times New Roman Regular"/>
          <w:sz w:val="28"/>
          <w:szCs w:val="28"/>
        </w:rPr>
        <w:t>单位工业增加值二氧化碳排放下降</w:t>
      </w:r>
      <w:r>
        <w:rPr>
          <w:rFonts w:ascii="Times New Roman Regular" w:eastAsia="仿宋_GB2312" w:hAnsi="Times New Roman Regular" w:cs="Times New Roman Regular"/>
          <w:sz w:val="28"/>
          <w:szCs w:val="28"/>
        </w:rPr>
        <w:t>18%</w:t>
      </w:r>
      <w:r>
        <w:rPr>
          <w:rFonts w:ascii="Times New Roman Regular" w:eastAsia="仿宋_GB2312" w:hAnsi="Times New Roman Regular" w:cs="Times New Roman Regular"/>
          <w:sz w:val="28"/>
          <w:szCs w:val="28"/>
        </w:rPr>
        <w:t>、能耗下降</w:t>
      </w:r>
      <w:r>
        <w:rPr>
          <w:rFonts w:ascii="Times New Roman Regular" w:eastAsia="仿宋_GB2312" w:hAnsi="Times New Roman Regular" w:cs="Times New Roman Regular"/>
          <w:sz w:val="28"/>
          <w:szCs w:val="28"/>
        </w:rPr>
        <w:t>15%</w:t>
      </w:r>
      <w:r>
        <w:rPr>
          <w:rFonts w:ascii="Times New Roman Regular" w:eastAsia="仿宋_GB2312" w:hAnsi="Times New Roman Regular" w:cs="Times New Roman Regular"/>
          <w:sz w:val="28"/>
          <w:szCs w:val="28"/>
        </w:rPr>
        <w:t>，主要污染物排放总量减少</w:t>
      </w:r>
      <w:r>
        <w:rPr>
          <w:rFonts w:ascii="Times New Roman Regular" w:eastAsia="仿宋_GB2312" w:hAnsi="Times New Roman Regular" w:cs="Times New Roman Regular"/>
          <w:sz w:val="28"/>
          <w:szCs w:val="28"/>
        </w:rPr>
        <w:t xml:space="preserve"> 10%</w:t>
      </w:r>
      <w:r>
        <w:rPr>
          <w:rFonts w:ascii="Times New Roman Regular" w:eastAsia="仿宋_GB2312" w:hAnsi="Times New Roman Regular" w:cs="Times New Roman Regular"/>
          <w:sz w:val="28"/>
          <w:szCs w:val="28"/>
        </w:rPr>
        <w:t>以上。</w:t>
      </w:r>
    </w:p>
    <w:p w14:paraId="6A86A1DB" w14:textId="77777777" w:rsidR="00DB04BE" w:rsidRDefault="00000000">
      <w:pPr>
        <w:spacing w:line="560" w:lineRule="exact"/>
        <w:ind w:firstLineChars="200" w:firstLine="560"/>
        <w:rPr>
          <w:rFonts w:ascii="Times New Roman Regular" w:eastAsia="仿宋_GB2312" w:hAnsi="Times New Roman Regular" w:cs="Times New Roman Regular"/>
          <w:sz w:val="28"/>
          <w:szCs w:val="28"/>
        </w:rPr>
      </w:pPr>
      <w:r>
        <w:rPr>
          <w:rFonts w:ascii="Times New Roman Regular" w:eastAsia="仿宋_GB2312" w:hAnsi="Times New Roman Regular" w:cs="Times New Roman Regular"/>
          <w:sz w:val="28"/>
          <w:szCs w:val="28"/>
        </w:rPr>
        <w:lastRenderedPageBreak/>
        <w:t>成果核心技术获得授权的国家发明专利</w:t>
      </w:r>
      <w:r>
        <w:rPr>
          <w:rFonts w:ascii="Times New Roman Regular" w:eastAsia="仿宋_GB2312" w:hAnsi="Times New Roman Regular" w:cs="Times New Roman Regular"/>
          <w:sz w:val="28"/>
          <w:szCs w:val="28"/>
        </w:rPr>
        <w:t>6</w:t>
      </w:r>
      <w:r>
        <w:rPr>
          <w:rFonts w:ascii="Times New Roman Regular" w:eastAsia="仿宋_GB2312" w:hAnsi="Times New Roman Regular" w:cs="Times New Roman Regular"/>
          <w:sz w:val="28"/>
          <w:szCs w:val="28"/>
        </w:rPr>
        <w:t>项，发表论文</w:t>
      </w:r>
      <w:r>
        <w:rPr>
          <w:rFonts w:ascii="Times New Roman Regular" w:eastAsia="仿宋_GB2312" w:hAnsi="Times New Roman Regular" w:cs="Times New Roman Regular"/>
          <w:sz w:val="28"/>
          <w:szCs w:val="28"/>
        </w:rPr>
        <w:t>43</w:t>
      </w:r>
      <w:r>
        <w:rPr>
          <w:rFonts w:ascii="Times New Roman Regular" w:eastAsia="仿宋_GB2312" w:hAnsi="Times New Roman Regular" w:cs="Times New Roman Regular"/>
          <w:sz w:val="28"/>
          <w:szCs w:val="28"/>
        </w:rPr>
        <w:t>篇，制定企业标准</w:t>
      </w:r>
      <w:r>
        <w:rPr>
          <w:rFonts w:ascii="Times New Roman Regular" w:eastAsia="仿宋_GB2312" w:hAnsi="Times New Roman Regular" w:cs="Times New Roman Regular"/>
          <w:sz w:val="28"/>
          <w:szCs w:val="28"/>
        </w:rPr>
        <w:t>4</w:t>
      </w:r>
      <w:r>
        <w:rPr>
          <w:rFonts w:ascii="Times New Roman Regular" w:eastAsia="仿宋_GB2312" w:hAnsi="Times New Roman Regular" w:cs="Times New Roman Regular"/>
          <w:sz w:val="28"/>
          <w:szCs w:val="28"/>
        </w:rPr>
        <w:t>项，成果相关技术在益海嘉里金龙鱼粮油食品股份有限公司、江西青龙高科油脂有限公司和江西阳光乳业股份有限公司中应用，</w:t>
      </w:r>
      <w:r>
        <w:rPr>
          <w:rFonts w:ascii="Times New Roman Regular" w:eastAsia="仿宋_GB2312" w:hAnsi="Times New Roman Regular" w:cs="Times New Roman Regular"/>
          <w:sz w:val="28"/>
          <w:szCs w:val="28"/>
        </w:rPr>
        <w:t>2021-2023</w:t>
      </w:r>
      <w:r>
        <w:rPr>
          <w:rFonts w:ascii="Times New Roman Regular" w:eastAsia="仿宋_GB2312" w:hAnsi="Times New Roman Regular" w:cs="Times New Roman Regular"/>
          <w:sz w:val="28"/>
          <w:szCs w:val="28"/>
        </w:rPr>
        <w:t>年实现销售额</w:t>
      </w:r>
      <w:r>
        <w:rPr>
          <w:rFonts w:ascii="Times New Roman Regular" w:eastAsia="仿宋_GB2312" w:hAnsi="Times New Roman Regular" w:cs="Times New Roman Regular"/>
          <w:sz w:val="28"/>
          <w:szCs w:val="28"/>
        </w:rPr>
        <w:t>31.25</w:t>
      </w:r>
      <w:r>
        <w:rPr>
          <w:rFonts w:ascii="Times New Roman Regular" w:eastAsia="仿宋_GB2312" w:hAnsi="Times New Roman Regular" w:cs="Times New Roman Regular"/>
          <w:sz w:val="28"/>
          <w:szCs w:val="28"/>
        </w:rPr>
        <w:t>亿，销售利润</w:t>
      </w:r>
      <w:r>
        <w:rPr>
          <w:rFonts w:ascii="Times New Roman Regular" w:eastAsia="仿宋_GB2312" w:hAnsi="Times New Roman Regular" w:cs="Times New Roman Regular"/>
          <w:sz w:val="28"/>
          <w:szCs w:val="28"/>
        </w:rPr>
        <w:t>3.52</w:t>
      </w:r>
      <w:r>
        <w:rPr>
          <w:rFonts w:ascii="Times New Roman Regular" w:eastAsia="仿宋_GB2312" w:hAnsi="Times New Roman Regular" w:cs="Times New Roman Regular"/>
          <w:sz w:val="28"/>
          <w:szCs w:val="28"/>
        </w:rPr>
        <w:t>亿元；同时，改善公众健康，节约医疗费用约</w:t>
      </w:r>
      <w:r>
        <w:rPr>
          <w:rFonts w:ascii="Times New Roman Regular" w:eastAsia="仿宋_GB2312" w:hAnsi="Times New Roman Regular" w:cs="Times New Roman Regular"/>
          <w:sz w:val="28"/>
          <w:szCs w:val="28"/>
        </w:rPr>
        <w:t>300</w:t>
      </w:r>
      <w:r>
        <w:rPr>
          <w:rFonts w:ascii="Times New Roman Regular" w:eastAsia="仿宋_GB2312" w:hAnsi="Times New Roman Regular" w:cs="Times New Roman Regular"/>
          <w:sz w:val="28"/>
          <w:szCs w:val="28"/>
        </w:rPr>
        <w:t>亿。为预包装食品营养标签通则（</w:t>
      </w:r>
      <w:r>
        <w:rPr>
          <w:rFonts w:ascii="Times New Roman Regular" w:eastAsia="仿宋_GB2312" w:hAnsi="Times New Roman Regular" w:cs="Times New Roman Regular"/>
          <w:sz w:val="28"/>
          <w:szCs w:val="28"/>
        </w:rPr>
        <w:t>GB28050-2011</w:t>
      </w:r>
      <w:r>
        <w:rPr>
          <w:rFonts w:ascii="Times New Roman Regular" w:eastAsia="仿宋_GB2312" w:hAnsi="Times New Roman Regular" w:cs="Times New Roman Regular"/>
          <w:sz w:val="28"/>
          <w:szCs w:val="28"/>
        </w:rPr>
        <w:t>）的发布提供了科学依据，产生了显著的经济和社会效益。</w:t>
      </w:r>
    </w:p>
    <w:p w14:paraId="49FC4851"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五、</w:t>
      </w:r>
      <w:r>
        <w:rPr>
          <w:rFonts w:ascii="仿宋_GB2312" w:eastAsia="仿宋_GB2312" w:hAnsi="宋体"/>
          <w:b/>
          <w:bCs/>
          <w:sz w:val="32"/>
          <w:szCs w:val="32"/>
        </w:rPr>
        <w:t>代表性科技成果</w:t>
      </w:r>
    </w:p>
    <w:p w14:paraId="6E6F2BA2" w14:textId="77777777" w:rsidR="00DB04BE"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bCs/>
          <w:sz w:val="24"/>
          <w:szCs w:val="24"/>
        </w:rPr>
        <w:t>主要知识产权和标准规范等目录</w:t>
      </w:r>
    </w:p>
    <w:tbl>
      <w:tblPr>
        <w:tblW w:w="967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68"/>
        <w:gridCol w:w="850"/>
        <w:gridCol w:w="1418"/>
        <w:gridCol w:w="425"/>
        <w:gridCol w:w="1286"/>
        <w:gridCol w:w="822"/>
        <w:gridCol w:w="1010"/>
        <w:gridCol w:w="710"/>
        <w:gridCol w:w="1144"/>
        <w:gridCol w:w="709"/>
        <w:gridCol w:w="732"/>
      </w:tblGrid>
      <w:tr w:rsidR="00DB04BE" w14:paraId="3E4809CE" w14:textId="77777777">
        <w:trPr>
          <w:trHeight w:val="929"/>
          <w:jc w:val="center"/>
        </w:trPr>
        <w:tc>
          <w:tcPr>
            <w:tcW w:w="568" w:type="dxa"/>
            <w:vAlign w:val="center"/>
          </w:tcPr>
          <w:p w14:paraId="39E9C862"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序号</w:t>
            </w:r>
          </w:p>
        </w:tc>
        <w:tc>
          <w:tcPr>
            <w:tcW w:w="850" w:type="dxa"/>
            <w:vAlign w:val="center"/>
          </w:tcPr>
          <w:p w14:paraId="58B92C0B"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知识产权（标准）类别</w:t>
            </w:r>
          </w:p>
        </w:tc>
        <w:tc>
          <w:tcPr>
            <w:tcW w:w="1418" w:type="dxa"/>
            <w:vAlign w:val="center"/>
          </w:tcPr>
          <w:p w14:paraId="52DB970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知识产权（标准）具体名称</w:t>
            </w:r>
          </w:p>
        </w:tc>
        <w:tc>
          <w:tcPr>
            <w:tcW w:w="425" w:type="dxa"/>
            <w:vAlign w:val="center"/>
          </w:tcPr>
          <w:p w14:paraId="4D3E037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国家</w:t>
            </w:r>
          </w:p>
          <w:p w14:paraId="5F17EC3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（地区）</w:t>
            </w:r>
          </w:p>
        </w:tc>
        <w:tc>
          <w:tcPr>
            <w:tcW w:w="1286" w:type="dxa"/>
            <w:vAlign w:val="center"/>
          </w:tcPr>
          <w:p w14:paraId="33CD906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授权号（标准编号）</w:t>
            </w:r>
          </w:p>
        </w:tc>
        <w:tc>
          <w:tcPr>
            <w:tcW w:w="822" w:type="dxa"/>
            <w:vAlign w:val="center"/>
          </w:tcPr>
          <w:p w14:paraId="7028E55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授权（标准发布）日期</w:t>
            </w:r>
          </w:p>
        </w:tc>
        <w:tc>
          <w:tcPr>
            <w:tcW w:w="1010" w:type="dxa"/>
            <w:vAlign w:val="center"/>
          </w:tcPr>
          <w:p w14:paraId="6BF3A12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证书编号（标准批准发布部门）</w:t>
            </w:r>
          </w:p>
        </w:tc>
        <w:tc>
          <w:tcPr>
            <w:tcW w:w="710" w:type="dxa"/>
            <w:vAlign w:val="center"/>
          </w:tcPr>
          <w:p w14:paraId="7C7A784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权利人（标准起草单位）</w:t>
            </w:r>
          </w:p>
        </w:tc>
        <w:tc>
          <w:tcPr>
            <w:tcW w:w="1144" w:type="dxa"/>
            <w:vAlign w:val="center"/>
          </w:tcPr>
          <w:p w14:paraId="016572F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发明人（标准起草人）</w:t>
            </w:r>
          </w:p>
        </w:tc>
        <w:tc>
          <w:tcPr>
            <w:tcW w:w="709" w:type="dxa"/>
            <w:vAlign w:val="center"/>
          </w:tcPr>
          <w:p w14:paraId="2BF95876"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是否计入第一完成人权属</w:t>
            </w:r>
          </w:p>
        </w:tc>
        <w:tc>
          <w:tcPr>
            <w:tcW w:w="732" w:type="dxa"/>
            <w:vAlign w:val="center"/>
          </w:tcPr>
          <w:p w14:paraId="17C366B6"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是否计入第一完成单位权属</w:t>
            </w:r>
          </w:p>
        </w:tc>
      </w:tr>
      <w:tr w:rsidR="00DB04BE" w14:paraId="00677DA8" w14:textId="77777777">
        <w:trPr>
          <w:trHeight w:val="690"/>
          <w:jc w:val="center"/>
        </w:trPr>
        <w:tc>
          <w:tcPr>
            <w:tcW w:w="568" w:type="dxa"/>
            <w:vAlign w:val="center"/>
          </w:tcPr>
          <w:p w14:paraId="6CACF01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1</w:t>
            </w:r>
          </w:p>
        </w:tc>
        <w:tc>
          <w:tcPr>
            <w:tcW w:w="850" w:type="dxa"/>
            <w:vAlign w:val="center"/>
          </w:tcPr>
          <w:p w14:paraId="4182EEF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5715EFC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 xml:space="preserve">Different Influences of trans Fatty Acids on the Phospholipase A2 and Arachidonic Acid Metabolic Pathway in Hepatocytes </w:t>
            </w:r>
          </w:p>
        </w:tc>
        <w:tc>
          <w:tcPr>
            <w:tcW w:w="425" w:type="dxa"/>
            <w:vAlign w:val="center"/>
          </w:tcPr>
          <w:p w14:paraId="7F9C05F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美国</w:t>
            </w:r>
          </w:p>
        </w:tc>
        <w:tc>
          <w:tcPr>
            <w:tcW w:w="1286" w:type="dxa"/>
            <w:vAlign w:val="center"/>
          </w:tcPr>
          <w:p w14:paraId="1F9DFE2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Journal of Agricultural and Food Chemistry</w:t>
            </w:r>
            <w:r>
              <w:rPr>
                <w:rFonts w:ascii="Times New Roman" w:eastAsia="仿宋_GB2312" w:hAnsi="Times New Roman" w:hint="eastAsia"/>
                <w:color w:val="0D0D0D" w:themeColor="text1" w:themeTint="F2"/>
                <w:sz w:val="21"/>
                <w:szCs w:val="21"/>
              </w:rPr>
              <w:t>，</w:t>
            </w:r>
            <w:r>
              <w:rPr>
                <w:rFonts w:ascii="Times New Roman" w:eastAsia="仿宋_GB2312" w:hAnsi="Times New Roman" w:hint="eastAsia"/>
                <w:color w:val="0D0D0D" w:themeColor="text1" w:themeTint="F2"/>
                <w:sz w:val="21"/>
                <w:szCs w:val="21"/>
              </w:rPr>
              <w:t>2021, 69 (14)</w:t>
            </w:r>
            <w:r>
              <w:rPr>
                <w:rFonts w:ascii="Times New Roman" w:eastAsia="仿宋_GB2312" w:hAnsi="Times New Roman"/>
                <w:color w:val="0000FF"/>
                <w:sz w:val="21"/>
                <w:szCs w:val="21"/>
              </w:rPr>
              <w:t>:</w:t>
            </w:r>
            <w:r>
              <w:rPr>
                <w:rFonts w:ascii="Times New Roman" w:eastAsia="仿宋_GB2312" w:hAnsi="Times New Roman" w:hint="eastAsia"/>
                <w:color w:val="0D0D0D" w:themeColor="text1" w:themeTint="F2"/>
                <w:sz w:val="21"/>
                <w:szCs w:val="21"/>
              </w:rPr>
              <w:t xml:space="preserve"> 4120-4133</w:t>
            </w:r>
            <w:r>
              <w:rPr>
                <w:rFonts w:ascii="Times New Roman" w:eastAsia="仿宋_GB2312" w:hAnsi="Times New Roman"/>
                <w:color w:val="0000FF"/>
                <w:sz w:val="21"/>
                <w:szCs w:val="21"/>
              </w:rPr>
              <w:t>.</w:t>
            </w:r>
            <w:r>
              <w:rPr>
                <w:rFonts w:ascii="Times New Roman" w:eastAsia="仿宋_GB2312" w:hAnsi="Times New Roman"/>
                <w:color w:val="0D0D0D" w:themeColor="text1" w:themeTint="F2"/>
                <w:sz w:val="21"/>
                <w:szCs w:val="21"/>
              </w:rPr>
              <w:t>（中科院一区，</w:t>
            </w:r>
            <w:r>
              <w:rPr>
                <w:rFonts w:ascii="Times New Roman" w:eastAsia="仿宋_GB2312" w:hAnsi="Times New Roman"/>
                <w:color w:val="0D0D0D" w:themeColor="text1" w:themeTint="F2"/>
                <w:sz w:val="21"/>
                <w:szCs w:val="21"/>
              </w:rPr>
              <w:t>TOP</w:t>
            </w:r>
            <w:r>
              <w:rPr>
                <w:rFonts w:ascii="Times New Roman" w:eastAsia="仿宋_GB2312" w:hAnsi="Times New Roman"/>
                <w:color w:val="0D0D0D" w:themeColor="text1" w:themeTint="F2"/>
                <w:sz w:val="21"/>
                <w:szCs w:val="21"/>
              </w:rPr>
              <w:t>期刊）</w:t>
            </w:r>
          </w:p>
        </w:tc>
        <w:tc>
          <w:tcPr>
            <w:tcW w:w="822" w:type="dxa"/>
            <w:vAlign w:val="center"/>
          </w:tcPr>
          <w:p w14:paraId="0B2B9F72"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2021.4.14</w:t>
            </w:r>
          </w:p>
        </w:tc>
        <w:tc>
          <w:tcPr>
            <w:tcW w:w="1010" w:type="dxa"/>
            <w:vAlign w:val="center"/>
          </w:tcPr>
          <w:p w14:paraId="23908F4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American Chemical Society</w:t>
            </w:r>
            <w:r>
              <w:rPr>
                <w:rFonts w:ascii="Times New Roman" w:eastAsia="仿宋_GB2312" w:hAnsi="Times New Roman" w:hint="eastAsia"/>
                <w:color w:val="0D0D0D" w:themeColor="text1" w:themeTint="F2"/>
                <w:sz w:val="21"/>
                <w:szCs w:val="21"/>
              </w:rPr>
              <w:t>出版社</w:t>
            </w:r>
          </w:p>
        </w:tc>
        <w:tc>
          <w:tcPr>
            <w:tcW w:w="710" w:type="dxa"/>
            <w:vAlign w:val="center"/>
          </w:tcPr>
          <w:p w14:paraId="7BD4D5AD"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2F1653F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Qian Zou, Meng Wei, Niu Zhang, Xian Niu, Chen Weng, Ze-Yuan </w:t>
            </w:r>
            <w:proofErr w:type="gramStart"/>
            <w:r>
              <w:rPr>
                <w:rFonts w:ascii="Times New Roman" w:eastAsia="仿宋_GB2312" w:hAnsi="Times New Roman" w:hint="eastAsia"/>
                <w:color w:val="0D0D0D" w:themeColor="text1" w:themeTint="F2"/>
                <w:sz w:val="21"/>
                <w:szCs w:val="21"/>
              </w:rPr>
              <w:t>Deng,  Jing</w:t>
            </w:r>
            <w:proofErr w:type="gramEnd"/>
            <w:r>
              <w:rPr>
                <w:rFonts w:ascii="Times New Roman" w:eastAsia="仿宋_GB2312" w:hAnsi="Times New Roman" w:hint="eastAsia"/>
                <w:color w:val="0D0D0D" w:themeColor="text1" w:themeTint="F2"/>
                <w:sz w:val="21"/>
                <w:szCs w:val="21"/>
              </w:rPr>
              <w:t xml:space="preserve"> Li*</w:t>
            </w:r>
          </w:p>
        </w:tc>
        <w:tc>
          <w:tcPr>
            <w:tcW w:w="709" w:type="dxa"/>
            <w:vAlign w:val="center"/>
          </w:tcPr>
          <w:p w14:paraId="06A0305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c>
          <w:tcPr>
            <w:tcW w:w="732" w:type="dxa"/>
            <w:vAlign w:val="center"/>
          </w:tcPr>
          <w:p w14:paraId="4A6ADB2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584A6132" w14:textId="77777777">
        <w:trPr>
          <w:trHeight w:val="690"/>
          <w:jc w:val="center"/>
        </w:trPr>
        <w:tc>
          <w:tcPr>
            <w:tcW w:w="568" w:type="dxa"/>
            <w:vAlign w:val="center"/>
          </w:tcPr>
          <w:p w14:paraId="1D4C58D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2</w:t>
            </w:r>
          </w:p>
        </w:tc>
        <w:tc>
          <w:tcPr>
            <w:tcW w:w="850" w:type="dxa"/>
            <w:vAlign w:val="center"/>
          </w:tcPr>
          <w:p w14:paraId="14FA176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596017E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9t18:1 and 11t18:1 activate the MAPK pathway to regulate the expression of PLA2 and cause inflammation in HUVECs</w:t>
            </w:r>
          </w:p>
        </w:tc>
        <w:tc>
          <w:tcPr>
            <w:tcW w:w="425" w:type="dxa"/>
            <w:vAlign w:val="center"/>
          </w:tcPr>
          <w:p w14:paraId="56825BE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英国</w:t>
            </w:r>
          </w:p>
        </w:tc>
        <w:tc>
          <w:tcPr>
            <w:tcW w:w="1286" w:type="dxa"/>
            <w:vAlign w:val="center"/>
          </w:tcPr>
          <w:p w14:paraId="620B817B"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Food and Function, 2020,11</w:t>
            </w:r>
            <w:r>
              <w:rPr>
                <w:rFonts w:ascii="Times New Roman" w:eastAsia="仿宋_GB2312" w:hAnsi="Times New Roman"/>
                <w:color w:val="0000FF"/>
                <w:sz w:val="21"/>
                <w:szCs w:val="21"/>
              </w:rPr>
              <w:t>:</w:t>
            </w:r>
            <w:r>
              <w:rPr>
                <w:rFonts w:ascii="Times New Roman" w:eastAsia="仿宋_GB2312" w:hAnsi="Times New Roman" w:hint="eastAsia"/>
                <w:color w:val="0D0D0D" w:themeColor="text1" w:themeTint="F2"/>
                <w:sz w:val="21"/>
                <w:szCs w:val="21"/>
              </w:rPr>
              <w:t xml:space="preserve"> 649-661.</w:t>
            </w:r>
            <w:r>
              <w:rPr>
                <w:rFonts w:ascii="Times New Roman" w:eastAsia="仿宋_GB2312" w:hAnsi="Times New Roman"/>
                <w:color w:val="0000FF"/>
                <w:sz w:val="21"/>
                <w:szCs w:val="21"/>
              </w:rPr>
              <w:t xml:space="preserve"> </w:t>
            </w:r>
            <w:r>
              <w:rPr>
                <w:rFonts w:ascii="Times New Roman" w:eastAsia="仿宋_GB2312" w:hAnsi="Times New Roman"/>
                <w:color w:val="0D0D0D" w:themeColor="text1" w:themeTint="F2"/>
                <w:sz w:val="21"/>
                <w:szCs w:val="21"/>
              </w:rPr>
              <w:t>（中科院一区，</w:t>
            </w:r>
            <w:r>
              <w:rPr>
                <w:rFonts w:ascii="Times New Roman" w:eastAsia="仿宋_GB2312" w:hAnsi="Times New Roman"/>
                <w:color w:val="0D0D0D" w:themeColor="text1" w:themeTint="F2"/>
                <w:sz w:val="21"/>
                <w:szCs w:val="21"/>
              </w:rPr>
              <w:t>TOP</w:t>
            </w:r>
            <w:r>
              <w:rPr>
                <w:rFonts w:ascii="Times New Roman" w:eastAsia="仿宋_GB2312" w:hAnsi="Times New Roman"/>
                <w:color w:val="0D0D0D" w:themeColor="text1" w:themeTint="F2"/>
                <w:sz w:val="21"/>
                <w:szCs w:val="21"/>
              </w:rPr>
              <w:t>期刊）</w:t>
            </w:r>
          </w:p>
        </w:tc>
        <w:tc>
          <w:tcPr>
            <w:tcW w:w="822" w:type="dxa"/>
            <w:vAlign w:val="center"/>
          </w:tcPr>
          <w:p w14:paraId="6E73351B"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202</w:t>
            </w:r>
            <w:r>
              <w:rPr>
                <w:rFonts w:ascii="Times New Roman" w:eastAsia="仿宋_GB2312" w:hAnsi="Times New Roman" w:hint="eastAsia"/>
                <w:color w:val="0D0D0D" w:themeColor="text1" w:themeTint="F2"/>
                <w:sz w:val="21"/>
                <w:szCs w:val="21"/>
              </w:rPr>
              <w:t>0</w:t>
            </w:r>
            <w:r>
              <w:rPr>
                <w:rFonts w:ascii="Times New Roman" w:eastAsia="仿宋_GB2312" w:hAnsi="Times New Roman"/>
                <w:color w:val="0D0D0D" w:themeColor="text1" w:themeTint="F2"/>
                <w:sz w:val="21"/>
                <w:szCs w:val="21"/>
              </w:rPr>
              <w:t>.</w:t>
            </w:r>
            <w:r>
              <w:rPr>
                <w:rFonts w:ascii="Times New Roman" w:eastAsia="仿宋_GB2312" w:hAnsi="Times New Roman" w:hint="eastAsia"/>
                <w:color w:val="0D0D0D" w:themeColor="text1" w:themeTint="F2"/>
                <w:sz w:val="21"/>
                <w:szCs w:val="21"/>
              </w:rPr>
              <w:t>1</w:t>
            </w:r>
            <w:r>
              <w:rPr>
                <w:rFonts w:ascii="Times New Roman" w:eastAsia="仿宋_GB2312" w:hAnsi="Times New Roman"/>
                <w:color w:val="0D0D0D" w:themeColor="text1" w:themeTint="F2"/>
                <w:sz w:val="21"/>
                <w:szCs w:val="21"/>
              </w:rPr>
              <w:t>.1</w:t>
            </w:r>
          </w:p>
        </w:tc>
        <w:tc>
          <w:tcPr>
            <w:tcW w:w="1010" w:type="dxa"/>
            <w:vAlign w:val="center"/>
          </w:tcPr>
          <w:p w14:paraId="54C93C7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Royal Society of Chemistry</w:t>
            </w:r>
            <w:r>
              <w:rPr>
                <w:rFonts w:ascii="Times New Roman" w:eastAsia="仿宋_GB2312" w:hAnsi="Times New Roman"/>
                <w:color w:val="0D0D0D" w:themeColor="text1" w:themeTint="F2"/>
                <w:sz w:val="21"/>
                <w:szCs w:val="21"/>
              </w:rPr>
              <w:t>出版社</w:t>
            </w:r>
          </w:p>
        </w:tc>
        <w:tc>
          <w:tcPr>
            <w:tcW w:w="710" w:type="dxa"/>
            <w:vAlign w:val="center"/>
          </w:tcPr>
          <w:p w14:paraId="4720FA7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57369122"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Hu S, Zou Q, </w:t>
            </w:r>
            <w:proofErr w:type="spellStart"/>
            <w:r>
              <w:rPr>
                <w:rFonts w:ascii="Times New Roman" w:eastAsia="仿宋_GB2312" w:hAnsi="Times New Roman" w:hint="eastAsia"/>
                <w:color w:val="0D0D0D" w:themeColor="text1" w:themeTint="F2"/>
                <w:sz w:val="21"/>
                <w:szCs w:val="21"/>
              </w:rPr>
              <w:t>Lv</w:t>
            </w:r>
            <w:proofErr w:type="spellEnd"/>
            <w:r>
              <w:rPr>
                <w:rFonts w:ascii="Times New Roman" w:eastAsia="仿宋_GB2312" w:hAnsi="Times New Roman" w:hint="eastAsia"/>
                <w:color w:val="0D0D0D" w:themeColor="text1" w:themeTint="F2"/>
                <w:sz w:val="21"/>
                <w:szCs w:val="21"/>
              </w:rPr>
              <w:t xml:space="preserve"> </w:t>
            </w:r>
            <w:proofErr w:type="gramStart"/>
            <w:r>
              <w:rPr>
                <w:rFonts w:ascii="Times New Roman" w:eastAsia="仿宋_GB2312" w:hAnsi="Times New Roman" w:hint="eastAsia"/>
                <w:color w:val="0D0D0D" w:themeColor="text1" w:themeTint="F2"/>
                <w:sz w:val="21"/>
                <w:szCs w:val="21"/>
              </w:rPr>
              <w:t>X ,</w:t>
            </w:r>
            <w:proofErr w:type="gramEnd"/>
            <w:r>
              <w:rPr>
                <w:rFonts w:ascii="Times New Roman" w:eastAsia="仿宋_GB2312" w:hAnsi="Times New Roman" w:hint="eastAsia"/>
                <w:color w:val="0D0D0D" w:themeColor="text1" w:themeTint="F2"/>
                <w:sz w:val="21"/>
                <w:szCs w:val="21"/>
              </w:rPr>
              <w:t xml:space="preserve"> Zhou R , Niu X , Weng C , Chen F , Fan Y W , Deng Z Y , and Li J*</w:t>
            </w:r>
          </w:p>
        </w:tc>
        <w:tc>
          <w:tcPr>
            <w:tcW w:w="709" w:type="dxa"/>
            <w:vAlign w:val="center"/>
          </w:tcPr>
          <w:p w14:paraId="636AABA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c>
          <w:tcPr>
            <w:tcW w:w="732" w:type="dxa"/>
            <w:vAlign w:val="center"/>
          </w:tcPr>
          <w:p w14:paraId="0E471702"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4DBC366A" w14:textId="77777777">
        <w:trPr>
          <w:trHeight w:val="690"/>
          <w:jc w:val="center"/>
        </w:trPr>
        <w:tc>
          <w:tcPr>
            <w:tcW w:w="568" w:type="dxa"/>
            <w:vAlign w:val="center"/>
          </w:tcPr>
          <w:p w14:paraId="387FA13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3</w:t>
            </w:r>
          </w:p>
        </w:tc>
        <w:tc>
          <w:tcPr>
            <w:tcW w:w="850" w:type="dxa"/>
            <w:vAlign w:val="center"/>
          </w:tcPr>
          <w:p w14:paraId="1358A3F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4A96B3D6"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 xml:space="preserve">Evaluating the trans fatty acid, CLA, PUFA and erucic acid diversity in human milk </w:t>
            </w:r>
            <w:r>
              <w:rPr>
                <w:rFonts w:ascii="Times New Roman" w:eastAsia="仿宋_GB2312" w:hAnsi="Times New Roman" w:hint="eastAsia"/>
                <w:color w:val="0D0D0D" w:themeColor="text1" w:themeTint="F2"/>
                <w:sz w:val="21"/>
                <w:szCs w:val="21"/>
              </w:rPr>
              <w:lastRenderedPageBreak/>
              <w:t>from five regions in China</w:t>
            </w:r>
          </w:p>
        </w:tc>
        <w:tc>
          <w:tcPr>
            <w:tcW w:w="425" w:type="dxa"/>
            <w:vAlign w:val="center"/>
          </w:tcPr>
          <w:p w14:paraId="127DFDAC"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lastRenderedPageBreak/>
              <w:t>美国</w:t>
            </w:r>
          </w:p>
        </w:tc>
        <w:tc>
          <w:tcPr>
            <w:tcW w:w="1286" w:type="dxa"/>
            <w:vAlign w:val="center"/>
          </w:tcPr>
          <w:p w14:paraId="06797CA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Lipids, 2009, 44(3):257-271</w:t>
            </w:r>
            <w:r>
              <w:rPr>
                <w:rFonts w:ascii="Times New Roman" w:eastAsia="仿宋_GB2312" w:hAnsi="Times New Roman"/>
                <w:color w:val="0D0D0D" w:themeColor="text1" w:themeTint="F2"/>
                <w:sz w:val="21"/>
                <w:szCs w:val="21"/>
              </w:rPr>
              <w:t xml:space="preserve">. </w:t>
            </w:r>
            <w:r>
              <w:rPr>
                <w:rFonts w:ascii="Times New Roman" w:eastAsia="仿宋_GB2312" w:hAnsi="Times New Roman"/>
                <w:color w:val="0D0D0D" w:themeColor="text1" w:themeTint="F2"/>
                <w:sz w:val="21"/>
                <w:szCs w:val="21"/>
              </w:rPr>
              <w:t>（中科院</w:t>
            </w:r>
            <w:r>
              <w:rPr>
                <w:rFonts w:ascii="Times New Roman" w:eastAsia="仿宋_GB2312" w:hAnsi="Times New Roman" w:hint="eastAsia"/>
                <w:color w:val="0D0D0D" w:themeColor="text1" w:themeTint="F2"/>
                <w:sz w:val="21"/>
                <w:szCs w:val="21"/>
              </w:rPr>
              <w:t>四</w:t>
            </w:r>
            <w:r>
              <w:rPr>
                <w:rFonts w:ascii="Times New Roman" w:eastAsia="仿宋_GB2312" w:hAnsi="Times New Roman"/>
                <w:color w:val="0D0D0D" w:themeColor="text1" w:themeTint="F2"/>
                <w:sz w:val="21"/>
                <w:szCs w:val="21"/>
              </w:rPr>
              <w:t>区）</w:t>
            </w:r>
          </w:p>
        </w:tc>
        <w:tc>
          <w:tcPr>
            <w:tcW w:w="822" w:type="dxa"/>
            <w:vAlign w:val="center"/>
          </w:tcPr>
          <w:p w14:paraId="7DB03CAD"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20</w:t>
            </w:r>
            <w:r>
              <w:rPr>
                <w:rFonts w:ascii="Times New Roman" w:eastAsia="仿宋_GB2312" w:hAnsi="Times New Roman" w:hint="eastAsia"/>
                <w:color w:val="0D0D0D" w:themeColor="text1" w:themeTint="F2"/>
                <w:sz w:val="21"/>
                <w:szCs w:val="21"/>
              </w:rPr>
              <w:t>09</w:t>
            </w:r>
            <w:r>
              <w:rPr>
                <w:rFonts w:ascii="Times New Roman" w:eastAsia="仿宋_GB2312" w:hAnsi="Times New Roman"/>
                <w:color w:val="0D0D0D" w:themeColor="text1" w:themeTint="F2"/>
                <w:sz w:val="21"/>
                <w:szCs w:val="21"/>
              </w:rPr>
              <w:t>.</w:t>
            </w:r>
            <w:r>
              <w:rPr>
                <w:rFonts w:ascii="Times New Roman" w:eastAsia="仿宋_GB2312" w:hAnsi="Times New Roman" w:hint="eastAsia"/>
                <w:color w:val="0D0D0D" w:themeColor="text1" w:themeTint="F2"/>
                <w:sz w:val="21"/>
                <w:szCs w:val="21"/>
              </w:rPr>
              <w:t>5</w:t>
            </w:r>
            <w:r>
              <w:rPr>
                <w:rFonts w:ascii="Times New Roman" w:eastAsia="仿宋_GB2312" w:hAnsi="Times New Roman"/>
                <w:color w:val="0D0D0D" w:themeColor="text1" w:themeTint="F2"/>
                <w:sz w:val="21"/>
                <w:szCs w:val="21"/>
              </w:rPr>
              <w:t>.1</w:t>
            </w:r>
          </w:p>
        </w:tc>
        <w:tc>
          <w:tcPr>
            <w:tcW w:w="1010" w:type="dxa"/>
            <w:vAlign w:val="center"/>
          </w:tcPr>
          <w:p w14:paraId="6D14BE8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AOCS</w:t>
            </w:r>
            <w:r>
              <w:rPr>
                <w:rFonts w:ascii="Times New Roman" w:eastAsia="仿宋_GB2312" w:hAnsi="Times New Roman" w:hint="eastAsia"/>
                <w:color w:val="0D0D0D" w:themeColor="text1" w:themeTint="F2"/>
                <w:sz w:val="21"/>
                <w:szCs w:val="21"/>
              </w:rPr>
              <w:t xml:space="preserve"> </w:t>
            </w:r>
            <w:r>
              <w:rPr>
                <w:rFonts w:ascii="Times New Roman" w:eastAsia="仿宋_GB2312" w:hAnsi="Times New Roman"/>
                <w:color w:val="0D0D0D" w:themeColor="text1" w:themeTint="F2"/>
                <w:sz w:val="21"/>
                <w:szCs w:val="21"/>
              </w:rPr>
              <w:t>出版社</w:t>
            </w:r>
          </w:p>
        </w:tc>
        <w:tc>
          <w:tcPr>
            <w:tcW w:w="710" w:type="dxa"/>
            <w:vAlign w:val="center"/>
          </w:tcPr>
          <w:p w14:paraId="4FDDCFF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0B7FA32D"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Li </w:t>
            </w:r>
            <w:proofErr w:type="gramStart"/>
            <w:r>
              <w:rPr>
                <w:rFonts w:ascii="Times New Roman" w:eastAsia="仿宋_GB2312" w:hAnsi="Times New Roman" w:hint="eastAsia"/>
                <w:color w:val="0D0D0D" w:themeColor="text1" w:themeTint="F2"/>
                <w:sz w:val="21"/>
                <w:szCs w:val="21"/>
              </w:rPr>
              <w:t>J ,</w:t>
            </w:r>
            <w:proofErr w:type="gramEnd"/>
            <w:r>
              <w:rPr>
                <w:rFonts w:ascii="Times New Roman" w:eastAsia="仿宋_GB2312" w:hAnsi="Times New Roman" w:hint="eastAsia"/>
                <w:color w:val="0D0D0D" w:themeColor="text1" w:themeTint="F2"/>
                <w:sz w:val="21"/>
                <w:szCs w:val="21"/>
              </w:rPr>
              <w:t xml:space="preserve"> Fan Y W , Zhang Z , Yu H , An Y , Kramer J K G , and </w:t>
            </w:r>
            <w:r>
              <w:rPr>
                <w:rFonts w:ascii="Times New Roman" w:eastAsia="仿宋_GB2312" w:hAnsi="Times New Roman" w:hint="eastAsia"/>
                <w:color w:val="0D0D0D" w:themeColor="text1" w:themeTint="F2"/>
                <w:sz w:val="21"/>
                <w:szCs w:val="21"/>
              </w:rPr>
              <w:lastRenderedPageBreak/>
              <w:t>Deng Z Y *</w:t>
            </w:r>
          </w:p>
        </w:tc>
        <w:tc>
          <w:tcPr>
            <w:tcW w:w="709" w:type="dxa"/>
            <w:vAlign w:val="center"/>
          </w:tcPr>
          <w:p w14:paraId="3AA3BF87"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lastRenderedPageBreak/>
              <w:t>是</w:t>
            </w:r>
          </w:p>
        </w:tc>
        <w:tc>
          <w:tcPr>
            <w:tcW w:w="732" w:type="dxa"/>
            <w:vAlign w:val="center"/>
          </w:tcPr>
          <w:p w14:paraId="36F7712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0301EB2D" w14:textId="77777777">
        <w:trPr>
          <w:trHeight w:val="690"/>
          <w:jc w:val="center"/>
        </w:trPr>
        <w:tc>
          <w:tcPr>
            <w:tcW w:w="568" w:type="dxa"/>
            <w:vAlign w:val="center"/>
          </w:tcPr>
          <w:p w14:paraId="48804D2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4</w:t>
            </w:r>
          </w:p>
        </w:tc>
        <w:tc>
          <w:tcPr>
            <w:tcW w:w="850" w:type="dxa"/>
            <w:vAlign w:val="center"/>
          </w:tcPr>
          <w:p w14:paraId="7D1CF0C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5A4D64F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Erythrocyte membrane trans-fatty acid index is positively associated with a 10-year CHD risk probability</w:t>
            </w:r>
            <w:r>
              <w:rPr>
                <w:rFonts w:ascii="Times New Roman" w:eastAsia="仿宋_GB2312" w:hAnsi="Times New Roman" w:hint="eastAsia"/>
                <w:color w:val="0000FF"/>
                <w:sz w:val="21"/>
                <w:szCs w:val="21"/>
              </w:rPr>
              <w:t xml:space="preserve"> </w:t>
            </w:r>
          </w:p>
        </w:tc>
        <w:tc>
          <w:tcPr>
            <w:tcW w:w="425" w:type="dxa"/>
            <w:vAlign w:val="center"/>
          </w:tcPr>
          <w:p w14:paraId="662863B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英国</w:t>
            </w:r>
          </w:p>
        </w:tc>
        <w:tc>
          <w:tcPr>
            <w:tcW w:w="1286" w:type="dxa"/>
            <w:vAlign w:val="center"/>
          </w:tcPr>
          <w:p w14:paraId="3686AF4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British Journal of Nutrition, 2013, 109: 1695-1703.</w:t>
            </w:r>
            <w:r>
              <w:rPr>
                <w:rFonts w:ascii="Times New Roman" w:eastAsia="仿宋_GB2312" w:hAnsi="Times New Roman" w:hint="eastAsia"/>
                <w:color w:val="0000FF"/>
                <w:sz w:val="21"/>
                <w:szCs w:val="21"/>
              </w:rPr>
              <w:t xml:space="preserve"> </w:t>
            </w:r>
            <w:r>
              <w:rPr>
                <w:rFonts w:ascii="Times New Roman" w:eastAsia="仿宋_GB2312" w:hAnsi="Times New Roman"/>
                <w:color w:val="0D0D0D" w:themeColor="text1" w:themeTint="F2"/>
                <w:sz w:val="21"/>
                <w:szCs w:val="21"/>
              </w:rPr>
              <w:t>（中科院</w:t>
            </w:r>
            <w:r>
              <w:rPr>
                <w:rFonts w:ascii="Times New Roman" w:eastAsia="仿宋_GB2312" w:hAnsi="Times New Roman" w:hint="eastAsia"/>
                <w:color w:val="0D0D0D" w:themeColor="text1" w:themeTint="F2"/>
                <w:sz w:val="21"/>
                <w:szCs w:val="21"/>
              </w:rPr>
              <w:t>三</w:t>
            </w:r>
            <w:r>
              <w:rPr>
                <w:rFonts w:ascii="Times New Roman" w:eastAsia="仿宋_GB2312" w:hAnsi="Times New Roman"/>
                <w:color w:val="0D0D0D" w:themeColor="text1" w:themeTint="F2"/>
                <w:sz w:val="21"/>
                <w:szCs w:val="21"/>
              </w:rPr>
              <w:t>区）</w:t>
            </w:r>
          </w:p>
        </w:tc>
        <w:tc>
          <w:tcPr>
            <w:tcW w:w="822" w:type="dxa"/>
            <w:vAlign w:val="center"/>
          </w:tcPr>
          <w:p w14:paraId="67FF5FC1"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2013.5.14</w:t>
            </w:r>
          </w:p>
        </w:tc>
        <w:tc>
          <w:tcPr>
            <w:tcW w:w="1010" w:type="dxa"/>
            <w:vAlign w:val="center"/>
          </w:tcPr>
          <w:p w14:paraId="4B095FF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Cambridge University Press</w:t>
            </w:r>
            <w:r>
              <w:rPr>
                <w:rFonts w:ascii="Times New Roman" w:eastAsia="仿宋_GB2312" w:hAnsi="Times New Roman" w:hint="eastAsia"/>
                <w:color w:val="0D0D0D" w:themeColor="text1" w:themeTint="F2"/>
                <w:sz w:val="21"/>
                <w:szCs w:val="21"/>
              </w:rPr>
              <w:t xml:space="preserve"> </w:t>
            </w:r>
            <w:r>
              <w:rPr>
                <w:rFonts w:ascii="Times New Roman" w:eastAsia="仿宋_GB2312" w:hAnsi="Times New Roman"/>
                <w:color w:val="0D0D0D" w:themeColor="text1" w:themeTint="F2"/>
                <w:sz w:val="21"/>
                <w:szCs w:val="21"/>
              </w:rPr>
              <w:t>出版社</w:t>
            </w:r>
          </w:p>
        </w:tc>
        <w:tc>
          <w:tcPr>
            <w:tcW w:w="710" w:type="dxa"/>
            <w:vAlign w:val="center"/>
          </w:tcPr>
          <w:p w14:paraId="41B3029C"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0B77F4E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Xiao-Ru Liu, Ze-Yuan Deng*, Jiang-Ning Hu, Ya-Wei Fan, Rong Liu, Jing Li, Jing-Tian Peng, Hai Su, Qiang Peng and Wei-Feng Li</w:t>
            </w:r>
          </w:p>
        </w:tc>
        <w:tc>
          <w:tcPr>
            <w:tcW w:w="709" w:type="dxa"/>
            <w:vAlign w:val="center"/>
          </w:tcPr>
          <w:p w14:paraId="13FA769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c>
          <w:tcPr>
            <w:tcW w:w="732" w:type="dxa"/>
            <w:vAlign w:val="center"/>
          </w:tcPr>
          <w:p w14:paraId="0AA5503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3A246909" w14:textId="77777777">
        <w:trPr>
          <w:trHeight w:val="690"/>
          <w:jc w:val="center"/>
        </w:trPr>
        <w:tc>
          <w:tcPr>
            <w:tcW w:w="568" w:type="dxa"/>
            <w:vAlign w:val="center"/>
          </w:tcPr>
          <w:p w14:paraId="7BA7D77D"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5</w:t>
            </w:r>
          </w:p>
        </w:tc>
        <w:tc>
          <w:tcPr>
            <w:tcW w:w="850" w:type="dxa"/>
            <w:vAlign w:val="center"/>
          </w:tcPr>
          <w:p w14:paraId="7102D4D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14AB30D1"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我国居民反刍动物反式脂肪酸摄入量的调查</w:t>
            </w:r>
          </w:p>
        </w:tc>
        <w:tc>
          <w:tcPr>
            <w:tcW w:w="425" w:type="dxa"/>
            <w:vAlign w:val="center"/>
          </w:tcPr>
          <w:p w14:paraId="067C822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中国</w:t>
            </w:r>
          </w:p>
        </w:tc>
        <w:tc>
          <w:tcPr>
            <w:tcW w:w="1286" w:type="dxa"/>
            <w:vAlign w:val="center"/>
          </w:tcPr>
          <w:p w14:paraId="71996C1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中国油脂，</w:t>
            </w:r>
            <w:r>
              <w:rPr>
                <w:rFonts w:ascii="Times New Roman" w:eastAsia="仿宋_GB2312" w:hAnsi="Times New Roman" w:hint="eastAsia"/>
                <w:color w:val="0D0D0D" w:themeColor="text1" w:themeTint="F2"/>
                <w:sz w:val="21"/>
                <w:szCs w:val="21"/>
              </w:rPr>
              <w:t xml:space="preserve"> 2021, 46(5)</w:t>
            </w:r>
            <w:r>
              <w:rPr>
                <w:rFonts w:ascii="Times New Roman" w:eastAsia="仿宋_GB2312" w:hAnsi="Times New Roman" w:hint="eastAsia"/>
                <w:color w:val="0D0D0D" w:themeColor="text1" w:themeTint="F2"/>
                <w:sz w:val="21"/>
                <w:szCs w:val="21"/>
              </w:rPr>
              <w:t>：</w:t>
            </w:r>
            <w:r>
              <w:rPr>
                <w:rFonts w:ascii="Times New Roman" w:eastAsia="仿宋_GB2312" w:hAnsi="Times New Roman" w:hint="eastAsia"/>
                <w:color w:val="0D0D0D" w:themeColor="text1" w:themeTint="F2"/>
                <w:sz w:val="21"/>
                <w:szCs w:val="21"/>
              </w:rPr>
              <w:t xml:space="preserve">103-108. </w:t>
            </w:r>
            <w:r>
              <w:rPr>
                <w:rFonts w:ascii="Times New Roman" w:eastAsia="仿宋_GB2312" w:hAnsi="Times New Roman"/>
                <w:color w:val="000000"/>
                <w:sz w:val="21"/>
                <w:szCs w:val="21"/>
              </w:rPr>
              <w:t>高质量科技期刊</w:t>
            </w:r>
            <w:r>
              <w:rPr>
                <w:rFonts w:ascii="Times New Roman" w:eastAsia="仿宋_GB2312" w:hAnsi="Times New Roman"/>
                <w:color w:val="000000"/>
                <w:sz w:val="21"/>
                <w:szCs w:val="21"/>
              </w:rPr>
              <w:t>T</w:t>
            </w:r>
            <w:r>
              <w:rPr>
                <w:rFonts w:ascii="Times New Roman" w:eastAsia="仿宋_GB2312" w:hAnsi="Times New Roman" w:hint="eastAsia"/>
                <w:color w:val="000000"/>
                <w:sz w:val="21"/>
                <w:szCs w:val="21"/>
              </w:rPr>
              <w:t>2</w:t>
            </w:r>
          </w:p>
        </w:tc>
        <w:tc>
          <w:tcPr>
            <w:tcW w:w="822" w:type="dxa"/>
            <w:vAlign w:val="center"/>
          </w:tcPr>
          <w:p w14:paraId="25D5172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2021.5.20</w:t>
            </w:r>
          </w:p>
        </w:tc>
        <w:tc>
          <w:tcPr>
            <w:tcW w:w="1010" w:type="dxa"/>
            <w:vAlign w:val="center"/>
          </w:tcPr>
          <w:p w14:paraId="7AE64127" w14:textId="77777777" w:rsidR="00DB04BE" w:rsidRDefault="00000000">
            <w:pPr>
              <w:autoSpaceDE w:val="0"/>
              <w:autoSpaceDN w:val="0"/>
              <w:adjustRightInd w:val="0"/>
              <w:snapToGrid w:val="0"/>
              <w:jc w:val="center"/>
              <w:rPr>
                <w:rFonts w:ascii="Times New Roman" w:eastAsia="仿宋_GB2312" w:hAnsi="Times New Roman" w:cs="Times New Roman"/>
                <w:color w:val="0000FF"/>
                <w:szCs w:val="21"/>
              </w:rPr>
            </w:pPr>
            <w:r>
              <w:rPr>
                <w:rFonts w:ascii="Times New Roman" w:eastAsia="仿宋_GB2312" w:hAnsi="Times New Roman"/>
                <w:color w:val="000000"/>
                <w:szCs w:val="21"/>
              </w:rPr>
              <w:t>《</w:t>
            </w:r>
            <w:r>
              <w:rPr>
                <w:rFonts w:ascii="Times New Roman" w:eastAsia="仿宋_GB2312" w:hAnsi="Times New Roman" w:hint="eastAsia"/>
                <w:color w:val="000000"/>
                <w:szCs w:val="21"/>
              </w:rPr>
              <w:t>中国油脂</w:t>
            </w:r>
            <w:r>
              <w:rPr>
                <w:rFonts w:ascii="Times New Roman" w:eastAsia="仿宋_GB2312" w:hAnsi="Times New Roman"/>
                <w:color w:val="000000"/>
                <w:szCs w:val="21"/>
              </w:rPr>
              <w:t>》杂志社</w:t>
            </w:r>
          </w:p>
        </w:tc>
        <w:tc>
          <w:tcPr>
            <w:tcW w:w="710" w:type="dxa"/>
            <w:vAlign w:val="center"/>
          </w:tcPr>
          <w:p w14:paraId="6E5E7D6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39FD217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牛仙，邓泽元，李静</w:t>
            </w:r>
            <w:r>
              <w:rPr>
                <w:rFonts w:ascii="Times New Roman" w:eastAsia="仿宋_GB2312" w:hAnsi="Times New Roman" w:hint="eastAsia"/>
                <w:color w:val="0D0D0D" w:themeColor="text1" w:themeTint="F2"/>
                <w:sz w:val="21"/>
                <w:szCs w:val="21"/>
              </w:rPr>
              <w:t>*</w:t>
            </w:r>
          </w:p>
        </w:tc>
        <w:tc>
          <w:tcPr>
            <w:tcW w:w="709" w:type="dxa"/>
            <w:vAlign w:val="center"/>
          </w:tcPr>
          <w:p w14:paraId="3EFAD99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c>
          <w:tcPr>
            <w:tcW w:w="732" w:type="dxa"/>
            <w:vAlign w:val="center"/>
          </w:tcPr>
          <w:p w14:paraId="3879F7C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54852F72" w14:textId="77777777">
        <w:trPr>
          <w:trHeight w:val="690"/>
          <w:jc w:val="center"/>
        </w:trPr>
        <w:tc>
          <w:tcPr>
            <w:tcW w:w="568" w:type="dxa"/>
            <w:vAlign w:val="center"/>
          </w:tcPr>
          <w:p w14:paraId="21DE57E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6</w:t>
            </w:r>
          </w:p>
        </w:tc>
        <w:tc>
          <w:tcPr>
            <w:tcW w:w="850" w:type="dxa"/>
            <w:vAlign w:val="center"/>
          </w:tcPr>
          <w:p w14:paraId="69DE5C3B"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1285293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 xml:space="preserve">Enzymatic Production of Zero-Trans Plastic Fat Rich in </w:t>
            </w:r>
            <w:r>
              <w:rPr>
                <w:rFonts w:ascii="Times New Roman" w:eastAsia="仿宋_GB2312" w:hAnsi="Times New Roman" w:hint="eastAsia"/>
                <w:color w:val="0D0D0D" w:themeColor="text1" w:themeTint="F2"/>
                <w:sz w:val="21"/>
                <w:szCs w:val="21"/>
              </w:rPr>
              <w:t>α</w:t>
            </w:r>
            <w:r>
              <w:rPr>
                <w:rFonts w:ascii="Times New Roman" w:eastAsia="仿宋_GB2312" w:hAnsi="Times New Roman" w:hint="eastAsia"/>
                <w:color w:val="0D0D0D" w:themeColor="text1" w:themeTint="F2"/>
                <w:sz w:val="21"/>
                <w:szCs w:val="21"/>
              </w:rPr>
              <w:t xml:space="preserve">-Linolenic Acid and Medium-Chain Fatty Acids from Highly Hydrogenated Soybean Oil, Cinnamomum </w:t>
            </w:r>
            <w:proofErr w:type="spellStart"/>
            <w:r>
              <w:rPr>
                <w:rFonts w:ascii="Times New Roman" w:eastAsia="仿宋_GB2312" w:hAnsi="Times New Roman" w:hint="eastAsia"/>
                <w:color w:val="0D0D0D" w:themeColor="text1" w:themeTint="F2"/>
                <w:sz w:val="21"/>
                <w:szCs w:val="21"/>
              </w:rPr>
              <w:t>camphora</w:t>
            </w:r>
            <w:proofErr w:type="spellEnd"/>
            <w:r>
              <w:rPr>
                <w:rFonts w:ascii="Times New Roman" w:eastAsia="仿宋_GB2312" w:hAnsi="Times New Roman" w:hint="eastAsia"/>
                <w:color w:val="0D0D0D" w:themeColor="text1" w:themeTint="F2"/>
                <w:sz w:val="21"/>
                <w:szCs w:val="21"/>
              </w:rPr>
              <w:t xml:space="preserve"> Seed Oil, and Perilla Oil by </w:t>
            </w:r>
            <w:proofErr w:type="spellStart"/>
            <w:r>
              <w:rPr>
                <w:rFonts w:ascii="Times New Roman" w:eastAsia="仿宋_GB2312" w:hAnsi="Times New Roman" w:hint="eastAsia"/>
                <w:color w:val="0D0D0D" w:themeColor="text1" w:themeTint="F2"/>
                <w:sz w:val="21"/>
                <w:szCs w:val="21"/>
              </w:rPr>
              <w:t>Lipozyme</w:t>
            </w:r>
            <w:proofErr w:type="spellEnd"/>
            <w:r>
              <w:rPr>
                <w:rFonts w:ascii="Times New Roman" w:eastAsia="仿宋_GB2312" w:hAnsi="Times New Roman" w:hint="eastAsia"/>
                <w:color w:val="0D0D0D" w:themeColor="text1" w:themeTint="F2"/>
                <w:sz w:val="21"/>
                <w:szCs w:val="21"/>
              </w:rPr>
              <w:t xml:space="preserve"> TL IM</w:t>
            </w:r>
          </w:p>
        </w:tc>
        <w:tc>
          <w:tcPr>
            <w:tcW w:w="425" w:type="dxa"/>
            <w:vAlign w:val="center"/>
          </w:tcPr>
          <w:p w14:paraId="1989E38B" w14:textId="77777777" w:rsidR="00DB04BE" w:rsidRDefault="00000000">
            <w:pPr>
              <w:adjustRightInd w:val="0"/>
              <w:snapToGrid w:val="0"/>
              <w:jc w:val="center"/>
              <w:rPr>
                <w:rFonts w:ascii="Times New Roman" w:eastAsia="仿宋_GB2312" w:hAnsi="Times New Roman" w:cs="Times New Roman"/>
                <w:color w:val="0000FF"/>
                <w:szCs w:val="21"/>
              </w:rPr>
            </w:pPr>
            <w:r>
              <w:rPr>
                <w:rFonts w:ascii="Times New Roman" w:eastAsia="仿宋_GB2312" w:hAnsi="Times New Roman" w:cs="Times New Roman" w:hint="eastAsia"/>
                <w:color w:val="0D0D0D" w:themeColor="text1" w:themeTint="F2"/>
                <w:szCs w:val="21"/>
              </w:rPr>
              <w:t>美国</w:t>
            </w:r>
          </w:p>
        </w:tc>
        <w:tc>
          <w:tcPr>
            <w:tcW w:w="1286" w:type="dxa"/>
            <w:vAlign w:val="center"/>
          </w:tcPr>
          <w:p w14:paraId="59EAFB73"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J. Agric. Food Chem. 2013, 61: 1189-1195. </w:t>
            </w:r>
            <w:r>
              <w:rPr>
                <w:rFonts w:ascii="Times New Roman" w:eastAsia="仿宋_GB2312" w:hAnsi="Times New Roman"/>
                <w:color w:val="0D0D0D" w:themeColor="text1" w:themeTint="F2"/>
                <w:sz w:val="21"/>
                <w:szCs w:val="21"/>
              </w:rPr>
              <w:t>（中科院一区，</w:t>
            </w:r>
            <w:r>
              <w:rPr>
                <w:rFonts w:ascii="Times New Roman" w:eastAsia="仿宋_GB2312" w:hAnsi="Times New Roman"/>
                <w:color w:val="0D0D0D" w:themeColor="text1" w:themeTint="F2"/>
                <w:sz w:val="21"/>
                <w:szCs w:val="21"/>
              </w:rPr>
              <w:t>TOP</w:t>
            </w:r>
            <w:r>
              <w:rPr>
                <w:rFonts w:ascii="Times New Roman" w:eastAsia="仿宋_GB2312" w:hAnsi="Times New Roman"/>
                <w:color w:val="0D0D0D" w:themeColor="text1" w:themeTint="F2"/>
                <w:sz w:val="21"/>
                <w:szCs w:val="21"/>
              </w:rPr>
              <w:t>期刊）</w:t>
            </w:r>
          </w:p>
        </w:tc>
        <w:tc>
          <w:tcPr>
            <w:tcW w:w="822" w:type="dxa"/>
            <w:vAlign w:val="center"/>
          </w:tcPr>
          <w:p w14:paraId="26BD4E36"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2013.2.13</w:t>
            </w:r>
          </w:p>
        </w:tc>
        <w:tc>
          <w:tcPr>
            <w:tcW w:w="1010" w:type="dxa"/>
            <w:vAlign w:val="center"/>
          </w:tcPr>
          <w:p w14:paraId="476E2284" w14:textId="77777777" w:rsidR="00DB04BE" w:rsidRDefault="00000000">
            <w:pPr>
              <w:autoSpaceDE w:val="0"/>
              <w:autoSpaceDN w:val="0"/>
              <w:adjustRightInd w:val="0"/>
              <w:snapToGrid w:val="0"/>
              <w:jc w:val="center"/>
              <w:rPr>
                <w:rFonts w:ascii="Times New Roman" w:eastAsia="仿宋_GB2312" w:hAnsi="Times New Roman"/>
                <w:color w:val="0000FF"/>
                <w:szCs w:val="21"/>
              </w:rPr>
            </w:pPr>
            <w:r>
              <w:rPr>
                <w:rFonts w:ascii="Times New Roman" w:eastAsia="仿宋_GB2312" w:hAnsi="Times New Roman"/>
                <w:color w:val="0D0D0D" w:themeColor="text1" w:themeTint="F2"/>
                <w:szCs w:val="21"/>
              </w:rPr>
              <w:t>ACS</w:t>
            </w:r>
            <w:r>
              <w:rPr>
                <w:rFonts w:ascii="Times New Roman" w:eastAsia="仿宋_GB2312" w:hAnsi="Times New Roman" w:hint="eastAsia"/>
                <w:color w:val="0D0D0D" w:themeColor="text1" w:themeTint="F2"/>
                <w:szCs w:val="21"/>
              </w:rPr>
              <w:t xml:space="preserve"> </w:t>
            </w:r>
            <w:r>
              <w:rPr>
                <w:rFonts w:ascii="Times New Roman" w:eastAsia="仿宋_GB2312" w:hAnsi="Times New Roman"/>
                <w:color w:val="0D0D0D" w:themeColor="text1" w:themeTint="F2"/>
                <w:szCs w:val="21"/>
              </w:rPr>
              <w:t>出版社</w:t>
            </w:r>
          </w:p>
        </w:tc>
        <w:tc>
          <w:tcPr>
            <w:tcW w:w="710" w:type="dxa"/>
            <w:vAlign w:val="center"/>
          </w:tcPr>
          <w:p w14:paraId="672F04E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11DD1CA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Man-Li Zhao, Liang Tang, Xue-Mei Zhu, Jiang-Ning Hu*, Hong-Yan Li, Li-Ping Luo, Lin Lei and Ze-Yuan Deng*</w:t>
            </w:r>
          </w:p>
        </w:tc>
        <w:tc>
          <w:tcPr>
            <w:tcW w:w="709" w:type="dxa"/>
            <w:vAlign w:val="center"/>
          </w:tcPr>
          <w:p w14:paraId="6AA094EB"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c>
          <w:tcPr>
            <w:tcW w:w="732" w:type="dxa"/>
            <w:vAlign w:val="center"/>
          </w:tcPr>
          <w:p w14:paraId="2D7DF74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41015BA5" w14:textId="77777777">
        <w:trPr>
          <w:trHeight w:val="690"/>
          <w:jc w:val="center"/>
        </w:trPr>
        <w:tc>
          <w:tcPr>
            <w:tcW w:w="568" w:type="dxa"/>
            <w:vAlign w:val="center"/>
          </w:tcPr>
          <w:p w14:paraId="147A0687"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7</w:t>
            </w:r>
          </w:p>
        </w:tc>
        <w:tc>
          <w:tcPr>
            <w:tcW w:w="850" w:type="dxa"/>
            <w:vAlign w:val="center"/>
          </w:tcPr>
          <w:p w14:paraId="285921E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7E76E2AC"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The Analysis of CLA and trans-18:1 Isomers in Synthetic and Animal Products</w:t>
            </w:r>
          </w:p>
        </w:tc>
        <w:tc>
          <w:tcPr>
            <w:tcW w:w="425" w:type="dxa"/>
            <w:vAlign w:val="center"/>
          </w:tcPr>
          <w:p w14:paraId="31E2EA6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美国</w:t>
            </w:r>
          </w:p>
        </w:tc>
        <w:tc>
          <w:tcPr>
            <w:tcW w:w="1286" w:type="dxa"/>
            <w:vAlign w:val="center"/>
          </w:tcPr>
          <w:p w14:paraId="694840D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Am. J. Clinic Nutri. 2004, 79</w:t>
            </w:r>
            <w:r>
              <w:rPr>
                <w:rFonts w:ascii="Times New Roman" w:eastAsia="仿宋_GB2312" w:hAnsi="Times New Roman" w:hint="eastAsia"/>
                <w:color w:val="0D0D0D" w:themeColor="text1" w:themeTint="F2"/>
                <w:sz w:val="21"/>
                <w:szCs w:val="21"/>
              </w:rPr>
              <w:t>：</w:t>
            </w:r>
            <w:r>
              <w:rPr>
                <w:rFonts w:ascii="Times New Roman" w:eastAsia="仿宋_GB2312" w:hAnsi="Times New Roman" w:hint="eastAsia"/>
                <w:color w:val="0D0D0D" w:themeColor="text1" w:themeTint="F2"/>
                <w:sz w:val="21"/>
                <w:szCs w:val="21"/>
              </w:rPr>
              <w:t xml:space="preserve">1137S-1145S. </w:t>
            </w:r>
            <w:r>
              <w:rPr>
                <w:rFonts w:ascii="Times New Roman" w:eastAsia="仿宋_GB2312" w:hAnsi="Times New Roman"/>
                <w:color w:val="0D0D0D" w:themeColor="text1" w:themeTint="F2"/>
                <w:sz w:val="21"/>
                <w:szCs w:val="21"/>
              </w:rPr>
              <w:t>（中科院一区，</w:t>
            </w:r>
            <w:r>
              <w:rPr>
                <w:rFonts w:ascii="Times New Roman" w:eastAsia="仿宋_GB2312" w:hAnsi="Times New Roman"/>
                <w:color w:val="0D0D0D" w:themeColor="text1" w:themeTint="F2"/>
                <w:sz w:val="21"/>
                <w:szCs w:val="21"/>
              </w:rPr>
              <w:t>TOP</w:t>
            </w:r>
            <w:r>
              <w:rPr>
                <w:rFonts w:ascii="Times New Roman" w:eastAsia="仿宋_GB2312" w:hAnsi="Times New Roman"/>
                <w:color w:val="0D0D0D" w:themeColor="text1" w:themeTint="F2"/>
                <w:sz w:val="21"/>
                <w:szCs w:val="21"/>
              </w:rPr>
              <w:t>期刊）</w:t>
            </w:r>
          </w:p>
        </w:tc>
        <w:tc>
          <w:tcPr>
            <w:tcW w:w="822" w:type="dxa"/>
            <w:vAlign w:val="center"/>
          </w:tcPr>
          <w:p w14:paraId="13ED8CB9"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2004.6.1</w:t>
            </w:r>
          </w:p>
        </w:tc>
        <w:tc>
          <w:tcPr>
            <w:tcW w:w="1010" w:type="dxa"/>
            <w:vAlign w:val="center"/>
          </w:tcPr>
          <w:p w14:paraId="1B3C434A" w14:textId="77777777" w:rsidR="00DB04BE" w:rsidRDefault="00000000">
            <w:pPr>
              <w:autoSpaceDE w:val="0"/>
              <w:autoSpaceDN w:val="0"/>
              <w:adjustRightInd w:val="0"/>
              <w:snapToGrid w:val="0"/>
              <w:jc w:val="center"/>
              <w:rPr>
                <w:rFonts w:ascii="Times New Roman" w:eastAsia="仿宋_GB2312" w:hAnsi="Times New Roman"/>
                <w:color w:val="0000FF"/>
                <w:szCs w:val="21"/>
              </w:rPr>
            </w:pPr>
            <w:r>
              <w:rPr>
                <w:rFonts w:ascii="Times New Roman" w:eastAsia="仿宋_GB2312" w:hAnsi="Times New Roman"/>
                <w:color w:val="0D0D0D" w:themeColor="text1" w:themeTint="F2"/>
                <w:szCs w:val="21"/>
              </w:rPr>
              <w:t>American Society for Nutrition</w:t>
            </w:r>
            <w:r>
              <w:rPr>
                <w:rFonts w:ascii="Times New Roman" w:eastAsia="仿宋_GB2312" w:hAnsi="Times New Roman" w:hint="eastAsia"/>
                <w:color w:val="0D0D0D" w:themeColor="text1" w:themeTint="F2"/>
                <w:szCs w:val="21"/>
              </w:rPr>
              <w:t xml:space="preserve"> </w:t>
            </w:r>
            <w:r>
              <w:rPr>
                <w:rFonts w:ascii="Times New Roman" w:eastAsia="仿宋_GB2312" w:hAnsi="Times New Roman"/>
                <w:color w:val="0D0D0D" w:themeColor="text1" w:themeTint="F2"/>
                <w:szCs w:val="21"/>
              </w:rPr>
              <w:t>出版社</w:t>
            </w:r>
          </w:p>
        </w:tc>
        <w:tc>
          <w:tcPr>
            <w:tcW w:w="710" w:type="dxa"/>
            <w:vAlign w:val="center"/>
          </w:tcPr>
          <w:p w14:paraId="71EE3C8E"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南昌大学</w:t>
            </w:r>
          </w:p>
        </w:tc>
        <w:tc>
          <w:tcPr>
            <w:tcW w:w="1144" w:type="dxa"/>
            <w:vAlign w:val="center"/>
          </w:tcPr>
          <w:p w14:paraId="5B960926"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John K. G. Kramer, Cristina Cruz-Hernandez, </w:t>
            </w:r>
            <w:proofErr w:type="spellStart"/>
            <w:r>
              <w:rPr>
                <w:rFonts w:ascii="Times New Roman" w:eastAsia="仿宋_GB2312" w:hAnsi="Times New Roman" w:hint="eastAsia"/>
                <w:color w:val="0D0D0D" w:themeColor="text1" w:themeTint="F2"/>
                <w:sz w:val="21"/>
                <w:szCs w:val="21"/>
              </w:rPr>
              <w:t>Zeyuan</w:t>
            </w:r>
            <w:proofErr w:type="spellEnd"/>
            <w:r>
              <w:rPr>
                <w:rFonts w:ascii="Times New Roman" w:eastAsia="仿宋_GB2312" w:hAnsi="Times New Roman" w:hint="eastAsia"/>
                <w:color w:val="0D0D0D" w:themeColor="text1" w:themeTint="F2"/>
                <w:sz w:val="21"/>
                <w:szCs w:val="21"/>
              </w:rPr>
              <w:t xml:space="preserve"> Deng, </w:t>
            </w:r>
            <w:proofErr w:type="spellStart"/>
            <w:r>
              <w:rPr>
                <w:rFonts w:ascii="Times New Roman" w:eastAsia="仿宋_GB2312" w:hAnsi="Times New Roman" w:hint="eastAsia"/>
                <w:color w:val="0D0D0D" w:themeColor="text1" w:themeTint="F2"/>
                <w:sz w:val="21"/>
                <w:szCs w:val="21"/>
              </w:rPr>
              <w:t>Jianqiang</w:t>
            </w:r>
            <w:proofErr w:type="spellEnd"/>
            <w:r>
              <w:rPr>
                <w:rFonts w:ascii="Times New Roman" w:eastAsia="仿宋_GB2312" w:hAnsi="Times New Roman" w:hint="eastAsia"/>
                <w:color w:val="0D0D0D" w:themeColor="text1" w:themeTint="F2"/>
                <w:sz w:val="21"/>
                <w:szCs w:val="21"/>
              </w:rPr>
              <w:t xml:space="preserve"> Zhou, Gerhard Jahreis and </w:t>
            </w:r>
            <w:r>
              <w:rPr>
                <w:rFonts w:ascii="Times New Roman" w:eastAsia="仿宋_GB2312" w:hAnsi="Times New Roman" w:hint="eastAsia"/>
                <w:color w:val="0D0D0D" w:themeColor="text1" w:themeTint="F2"/>
                <w:sz w:val="21"/>
                <w:szCs w:val="21"/>
              </w:rPr>
              <w:lastRenderedPageBreak/>
              <w:t>Michael E.R. Dugan</w:t>
            </w:r>
            <w:r>
              <w:rPr>
                <w:rFonts w:ascii="Times New Roman" w:eastAsia="仿宋_GB2312" w:hAnsi="Times New Roman" w:hint="eastAsia"/>
                <w:color w:val="0000FF"/>
                <w:sz w:val="21"/>
                <w:szCs w:val="21"/>
              </w:rPr>
              <w:t xml:space="preserve"> </w:t>
            </w:r>
          </w:p>
        </w:tc>
        <w:tc>
          <w:tcPr>
            <w:tcW w:w="709" w:type="dxa"/>
            <w:vAlign w:val="center"/>
          </w:tcPr>
          <w:p w14:paraId="25E9D07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lastRenderedPageBreak/>
              <w:t>否</w:t>
            </w:r>
          </w:p>
        </w:tc>
        <w:tc>
          <w:tcPr>
            <w:tcW w:w="732" w:type="dxa"/>
            <w:vAlign w:val="center"/>
          </w:tcPr>
          <w:p w14:paraId="15F05BE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是</w:t>
            </w:r>
          </w:p>
        </w:tc>
      </w:tr>
      <w:tr w:rsidR="00DB04BE" w14:paraId="559A0B62" w14:textId="77777777">
        <w:trPr>
          <w:trHeight w:val="690"/>
          <w:jc w:val="center"/>
        </w:trPr>
        <w:tc>
          <w:tcPr>
            <w:tcW w:w="568" w:type="dxa"/>
            <w:vAlign w:val="center"/>
          </w:tcPr>
          <w:p w14:paraId="6C25966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8</w:t>
            </w:r>
          </w:p>
        </w:tc>
        <w:tc>
          <w:tcPr>
            <w:tcW w:w="850" w:type="dxa"/>
            <w:vAlign w:val="center"/>
          </w:tcPr>
          <w:p w14:paraId="790859A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论文</w:t>
            </w:r>
          </w:p>
        </w:tc>
        <w:tc>
          <w:tcPr>
            <w:tcW w:w="1418" w:type="dxa"/>
            <w:vAlign w:val="center"/>
          </w:tcPr>
          <w:p w14:paraId="5064C405"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Biological effects of trans fatty acids and their possible roles in the lipid rafts in apoptosis regulation</w:t>
            </w:r>
          </w:p>
        </w:tc>
        <w:tc>
          <w:tcPr>
            <w:tcW w:w="425" w:type="dxa"/>
            <w:vAlign w:val="center"/>
          </w:tcPr>
          <w:p w14:paraId="44C0D7F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英国</w:t>
            </w:r>
          </w:p>
        </w:tc>
        <w:tc>
          <w:tcPr>
            <w:tcW w:w="1286" w:type="dxa"/>
            <w:vAlign w:val="center"/>
          </w:tcPr>
          <w:p w14:paraId="352B25DB"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Cell Biology International, 2018, 42(8): 904-912. </w:t>
            </w:r>
            <w:r>
              <w:rPr>
                <w:rFonts w:ascii="Times New Roman" w:eastAsia="仿宋_GB2312" w:hAnsi="Times New Roman"/>
                <w:color w:val="0D0D0D" w:themeColor="text1" w:themeTint="F2"/>
                <w:sz w:val="21"/>
                <w:szCs w:val="21"/>
              </w:rPr>
              <w:t>（中科院</w:t>
            </w:r>
            <w:r>
              <w:rPr>
                <w:rFonts w:ascii="Times New Roman" w:eastAsia="仿宋_GB2312" w:hAnsi="Times New Roman" w:hint="eastAsia"/>
                <w:color w:val="0D0D0D" w:themeColor="text1" w:themeTint="F2"/>
                <w:sz w:val="21"/>
                <w:szCs w:val="21"/>
              </w:rPr>
              <w:t>三</w:t>
            </w:r>
            <w:r>
              <w:rPr>
                <w:rFonts w:ascii="Times New Roman" w:eastAsia="仿宋_GB2312" w:hAnsi="Times New Roman"/>
                <w:color w:val="0D0D0D" w:themeColor="text1" w:themeTint="F2"/>
                <w:sz w:val="21"/>
                <w:szCs w:val="21"/>
              </w:rPr>
              <w:t>区）</w:t>
            </w:r>
          </w:p>
        </w:tc>
        <w:tc>
          <w:tcPr>
            <w:tcW w:w="822" w:type="dxa"/>
            <w:vAlign w:val="center"/>
          </w:tcPr>
          <w:p w14:paraId="535822B1"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2018.8.1</w:t>
            </w:r>
          </w:p>
        </w:tc>
        <w:tc>
          <w:tcPr>
            <w:tcW w:w="1010" w:type="dxa"/>
            <w:vAlign w:val="center"/>
          </w:tcPr>
          <w:p w14:paraId="7737BBDC" w14:textId="77777777" w:rsidR="00DB04BE" w:rsidRDefault="00000000">
            <w:pPr>
              <w:autoSpaceDE w:val="0"/>
              <w:autoSpaceDN w:val="0"/>
              <w:adjustRightInd w:val="0"/>
              <w:snapToGrid w:val="0"/>
              <w:jc w:val="center"/>
              <w:rPr>
                <w:rFonts w:ascii="Times New Roman" w:eastAsia="仿宋_GB2312" w:hAnsi="Times New Roman"/>
                <w:color w:val="0D0D0D" w:themeColor="text1" w:themeTint="F2"/>
                <w:szCs w:val="21"/>
              </w:rPr>
            </w:pPr>
            <w:r>
              <w:rPr>
                <w:rFonts w:ascii="Times New Roman" w:eastAsia="仿宋_GB2312" w:hAnsi="Times New Roman"/>
                <w:color w:val="0D0D0D" w:themeColor="text1" w:themeTint="F2"/>
                <w:szCs w:val="21"/>
              </w:rPr>
              <w:t>Wiley-Blackwell</w:t>
            </w:r>
            <w:r>
              <w:rPr>
                <w:rFonts w:ascii="Times New Roman" w:eastAsia="仿宋_GB2312" w:hAnsi="Times New Roman" w:hint="eastAsia"/>
                <w:color w:val="0D0D0D" w:themeColor="text1" w:themeTint="F2"/>
                <w:szCs w:val="21"/>
              </w:rPr>
              <w:t xml:space="preserve"> </w:t>
            </w:r>
            <w:r>
              <w:rPr>
                <w:rFonts w:ascii="Times New Roman" w:eastAsia="仿宋_GB2312" w:hAnsi="Times New Roman"/>
                <w:color w:val="0D0D0D" w:themeColor="text1" w:themeTint="F2"/>
                <w:szCs w:val="21"/>
              </w:rPr>
              <w:t>出版社</w:t>
            </w:r>
          </w:p>
        </w:tc>
        <w:tc>
          <w:tcPr>
            <w:tcW w:w="710" w:type="dxa"/>
            <w:vAlign w:val="center"/>
          </w:tcPr>
          <w:p w14:paraId="302EE5C7"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山东省农业科学院</w:t>
            </w:r>
          </w:p>
        </w:tc>
        <w:tc>
          <w:tcPr>
            <w:tcW w:w="1144" w:type="dxa"/>
            <w:vAlign w:val="center"/>
          </w:tcPr>
          <w:p w14:paraId="1231CAB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 xml:space="preserve">Qiu Bin; Wang Qing; Liu Wei; Xu Tong Cheng; Liu Li Na; Zong Ai Zhen; Jia Min; Li Jing; </w:t>
            </w:r>
            <w:proofErr w:type="spellStart"/>
            <w:r>
              <w:rPr>
                <w:rFonts w:ascii="Times New Roman" w:eastAsia="仿宋_GB2312" w:hAnsi="Times New Roman" w:hint="eastAsia"/>
                <w:color w:val="0D0D0D" w:themeColor="text1" w:themeTint="F2"/>
                <w:sz w:val="21"/>
                <w:szCs w:val="21"/>
              </w:rPr>
              <w:t>DuFang</w:t>
            </w:r>
            <w:proofErr w:type="spellEnd"/>
            <w:r>
              <w:rPr>
                <w:rFonts w:ascii="Times New Roman" w:eastAsia="仿宋_GB2312" w:hAnsi="Times New Roman" w:hint="eastAsia"/>
                <w:color w:val="0D0D0D" w:themeColor="text1" w:themeTint="F2"/>
                <w:sz w:val="21"/>
                <w:szCs w:val="21"/>
              </w:rPr>
              <w:t xml:space="preserve"> Ling </w:t>
            </w:r>
          </w:p>
        </w:tc>
        <w:tc>
          <w:tcPr>
            <w:tcW w:w="709" w:type="dxa"/>
            <w:vAlign w:val="center"/>
          </w:tcPr>
          <w:p w14:paraId="1B3A12D7"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c>
          <w:tcPr>
            <w:tcW w:w="732" w:type="dxa"/>
            <w:vAlign w:val="center"/>
          </w:tcPr>
          <w:p w14:paraId="1DF1857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r>
      <w:tr w:rsidR="00DB04BE" w14:paraId="74CD4F94" w14:textId="77777777">
        <w:trPr>
          <w:trHeight w:val="690"/>
          <w:jc w:val="center"/>
        </w:trPr>
        <w:tc>
          <w:tcPr>
            <w:tcW w:w="568" w:type="dxa"/>
            <w:vAlign w:val="center"/>
          </w:tcPr>
          <w:p w14:paraId="11B390B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9</w:t>
            </w:r>
          </w:p>
        </w:tc>
        <w:tc>
          <w:tcPr>
            <w:tcW w:w="850" w:type="dxa"/>
            <w:vAlign w:val="center"/>
          </w:tcPr>
          <w:p w14:paraId="30C25A7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发明专利</w:t>
            </w:r>
          </w:p>
        </w:tc>
        <w:tc>
          <w:tcPr>
            <w:tcW w:w="1418" w:type="dxa"/>
            <w:vAlign w:val="center"/>
          </w:tcPr>
          <w:p w14:paraId="2B169A92"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proofErr w:type="gramStart"/>
            <w:r>
              <w:rPr>
                <w:rFonts w:ascii="Times New Roman" w:eastAsia="仿宋_GB2312" w:hAnsi="Times New Roman" w:hint="eastAsia"/>
                <w:color w:val="0D0D0D" w:themeColor="text1" w:themeTint="F2"/>
                <w:sz w:val="21"/>
                <w:szCs w:val="21"/>
              </w:rPr>
              <w:t>一种零反的</w:t>
            </w:r>
            <w:proofErr w:type="gramEnd"/>
            <w:r>
              <w:rPr>
                <w:rFonts w:ascii="Times New Roman" w:eastAsia="仿宋_GB2312" w:hAnsi="Times New Roman" w:hint="eastAsia"/>
                <w:color w:val="0D0D0D" w:themeColor="text1" w:themeTint="F2"/>
                <w:sz w:val="21"/>
                <w:szCs w:val="21"/>
              </w:rPr>
              <w:t>绿色精准适度加工油脂组合物及其制备方法</w:t>
            </w:r>
          </w:p>
        </w:tc>
        <w:tc>
          <w:tcPr>
            <w:tcW w:w="425" w:type="dxa"/>
            <w:vAlign w:val="center"/>
          </w:tcPr>
          <w:p w14:paraId="1D34A41D"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中国</w:t>
            </w:r>
          </w:p>
        </w:tc>
        <w:tc>
          <w:tcPr>
            <w:tcW w:w="1286" w:type="dxa"/>
            <w:vAlign w:val="center"/>
          </w:tcPr>
          <w:p w14:paraId="0788B48C" w14:textId="77777777" w:rsidR="00DB04BE" w:rsidRDefault="00000000">
            <w:pPr>
              <w:pStyle w:val="a4"/>
              <w:adjustRightInd w:val="0"/>
              <w:snapToGrid w:val="0"/>
              <w:spacing w:line="240" w:lineRule="auto"/>
              <w:ind w:firstLineChars="0" w:firstLine="0"/>
              <w:rPr>
                <w:rFonts w:ascii="Times New Roman" w:eastAsia="仿宋_GB2312" w:hAnsi="Times New Roman"/>
                <w:color w:val="0000FF"/>
                <w:sz w:val="21"/>
                <w:szCs w:val="21"/>
              </w:rPr>
            </w:pPr>
            <w:r>
              <w:rPr>
                <w:rFonts w:ascii="Times New Roman" w:eastAsia="仿宋_GB2312" w:hAnsi="Times New Roman" w:hint="eastAsia"/>
                <w:color w:val="0D0D0D" w:themeColor="text1" w:themeTint="F2"/>
                <w:sz w:val="21"/>
                <w:szCs w:val="21"/>
              </w:rPr>
              <w:t>ZL202010244086.8</w:t>
            </w:r>
          </w:p>
        </w:tc>
        <w:tc>
          <w:tcPr>
            <w:tcW w:w="822" w:type="dxa"/>
            <w:vAlign w:val="center"/>
          </w:tcPr>
          <w:p w14:paraId="22830154"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000FF"/>
                <w:sz w:val="21"/>
                <w:szCs w:val="21"/>
              </w:rPr>
            </w:pPr>
            <w:r>
              <w:rPr>
                <w:rFonts w:ascii="Times New Roman" w:eastAsia="仿宋_GB2312" w:hAnsi="Times New Roman"/>
                <w:color w:val="0D0D0D" w:themeColor="text1" w:themeTint="F2"/>
                <w:sz w:val="21"/>
                <w:szCs w:val="21"/>
              </w:rPr>
              <w:t>2023.</w:t>
            </w:r>
            <w:r>
              <w:rPr>
                <w:rFonts w:ascii="Times New Roman" w:eastAsia="仿宋_GB2312" w:hAnsi="Times New Roman" w:hint="eastAsia"/>
                <w:color w:val="0D0D0D" w:themeColor="text1" w:themeTint="F2"/>
                <w:sz w:val="21"/>
                <w:szCs w:val="21"/>
              </w:rPr>
              <w:t>6</w:t>
            </w:r>
            <w:r>
              <w:rPr>
                <w:rFonts w:ascii="Times New Roman" w:eastAsia="仿宋_GB2312" w:hAnsi="Times New Roman"/>
                <w:color w:val="0D0D0D" w:themeColor="text1" w:themeTint="F2"/>
                <w:sz w:val="21"/>
                <w:szCs w:val="21"/>
              </w:rPr>
              <w:t>.2</w:t>
            </w:r>
            <w:r>
              <w:rPr>
                <w:rFonts w:ascii="Times New Roman" w:eastAsia="仿宋_GB2312" w:hAnsi="Times New Roman" w:hint="eastAsia"/>
                <w:color w:val="0D0D0D" w:themeColor="text1" w:themeTint="F2"/>
                <w:sz w:val="21"/>
                <w:szCs w:val="21"/>
              </w:rPr>
              <w:t>3</w:t>
            </w:r>
          </w:p>
        </w:tc>
        <w:tc>
          <w:tcPr>
            <w:tcW w:w="1010" w:type="dxa"/>
            <w:vAlign w:val="center"/>
          </w:tcPr>
          <w:p w14:paraId="16D6BC46" w14:textId="77777777" w:rsidR="00DB04BE" w:rsidRDefault="00000000">
            <w:pPr>
              <w:autoSpaceDE w:val="0"/>
              <w:autoSpaceDN w:val="0"/>
              <w:adjustRightInd w:val="0"/>
              <w:snapToGrid w:val="0"/>
              <w:jc w:val="center"/>
              <w:rPr>
                <w:rFonts w:ascii="Times New Roman" w:eastAsia="仿宋_GB2312" w:hAnsi="Times New Roman"/>
                <w:color w:val="0000FF"/>
                <w:szCs w:val="21"/>
              </w:rPr>
            </w:pPr>
            <w:r>
              <w:rPr>
                <w:rFonts w:ascii="Times New Roman" w:eastAsia="仿宋_GB2312" w:hAnsi="Times New Roman" w:hint="eastAsia"/>
                <w:color w:val="0D0D0D" w:themeColor="text1" w:themeTint="F2"/>
                <w:szCs w:val="21"/>
              </w:rPr>
              <w:t>第</w:t>
            </w:r>
            <w:r>
              <w:rPr>
                <w:rFonts w:ascii="Times New Roman" w:eastAsia="仿宋_GB2312" w:hAnsi="Times New Roman" w:hint="eastAsia"/>
                <w:color w:val="0D0D0D" w:themeColor="text1" w:themeTint="F2"/>
                <w:szCs w:val="21"/>
              </w:rPr>
              <w:t>6074715</w:t>
            </w:r>
            <w:r>
              <w:rPr>
                <w:rFonts w:ascii="Times New Roman" w:eastAsia="仿宋_GB2312" w:hAnsi="Times New Roman" w:hint="eastAsia"/>
                <w:color w:val="0D0D0D" w:themeColor="text1" w:themeTint="F2"/>
                <w:szCs w:val="21"/>
              </w:rPr>
              <w:t>号</w:t>
            </w:r>
          </w:p>
        </w:tc>
        <w:tc>
          <w:tcPr>
            <w:tcW w:w="710" w:type="dxa"/>
            <w:vAlign w:val="center"/>
          </w:tcPr>
          <w:p w14:paraId="47018B37"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丰益（上海）生物技术研发中</w:t>
            </w:r>
            <w:r>
              <w:rPr>
                <w:rFonts w:ascii="Times New Roman" w:eastAsia="仿宋_GB2312" w:hAnsi="Times New Roman" w:hint="eastAsia"/>
                <w:color w:val="0D0D0D" w:themeColor="text1" w:themeTint="F2"/>
                <w:sz w:val="21"/>
                <w:szCs w:val="21"/>
              </w:rPr>
              <w:t xml:space="preserve"> </w:t>
            </w:r>
            <w:r>
              <w:rPr>
                <w:rFonts w:ascii="Times New Roman" w:eastAsia="仿宋_GB2312" w:hAnsi="Times New Roman" w:hint="eastAsia"/>
                <w:color w:val="0D0D0D" w:themeColor="text1" w:themeTint="F2"/>
                <w:sz w:val="21"/>
                <w:szCs w:val="21"/>
              </w:rPr>
              <w:t>心有限公司</w:t>
            </w:r>
          </w:p>
        </w:tc>
        <w:tc>
          <w:tcPr>
            <w:tcW w:w="1144" w:type="dxa"/>
            <w:vAlign w:val="center"/>
          </w:tcPr>
          <w:p w14:paraId="2146A941"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proofErr w:type="gramStart"/>
            <w:r>
              <w:rPr>
                <w:rFonts w:ascii="Times New Roman" w:eastAsia="仿宋_GB2312" w:hAnsi="Times New Roman" w:hint="eastAsia"/>
                <w:color w:val="0D0D0D" w:themeColor="text1" w:themeTint="F2"/>
                <w:sz w:val="21"/>
                <w:szCs w:val="21"/>
              </w:rPr>
              <w:t>周盛敏</w:t>
            </w:r>
            <w:proofErr w:type="gramEnd"/>
            <w:r>
              <w:rPr>
                <w:rFonts w:ascii="Times New Roman" w:eastAsia="仿宋_GB2312" w:hAnsi="Times New Roman" w:hint="eastAsia"/>
                <w:color w:val="0D0D0D" w:themeColor="text1" w:themeTint="F2"/>
                <w:sz w:val="21"/>
                <w:szCs w:val="21"/>
              </w:rPr>
              <w:t>，刘晓君，张余权，</w:t>
            </w:r>
            <w:proofErr w:type="gramStart"/>
            <w:r>
              <w:rPr>
                <w:rFonts w:ascii="Times New Roman" w:eastAsia="仿宋_GB2312" w:hAnsi="Times New Roman" w:hint="eastAsia"/>
                <w:color w:val="0D0D0D" w:themeColor="text1" w:themeTint="F2"/>
                <w:sz w:val="21"/>
                <w:szCs w:val="21"/>
              </w:rPr>
              <w:t>姜元荣</w:t>
            </w:r>
            <w:proofErr w:type="gramEnd"/>
          </w:p>
        </w:tc>
        <w:tc>
          <w:tcPr>
            <w:tcW w:w="709" w:type="dxa"/>
            <w:vAlign w:val="center"/>
          </w:tcPr>
          <w:p w14:paraId="2ED7E826"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c>
          <w:tcPr>
            <w:tcW w:w="732" w:type="dxa"/>
            <w:vAlign w:val="center"/>
          </w:tcPr>
          <w:p w14:paraId="2BF1C2DC"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r>
      <w:tr w:rsidR="00DB04BE" w14:paraId="2005DAE9" w14:textId="77777777">
        <w:trPr>
          <w:trHeight w:val="690"/>
          <w:jc w:val="center"/>
        </w:trPr>
        <w:tc>
          <w:tcPr>
            <w:tcW w:w="568" w:type="dxa"/>
            <w:vAlign w:val="center"/>
          </w:tcPr>
          <w:p w14:paraId="0372E2EC"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10</w:t>
            </w:r>
          </w:p>
        </w:tc>
        <w:tc>
          <w:tcPr>
            <w:tcW w:w="850" w:type="dxa"/>
            <w:vAlign w:val="center"/>
          </w:tcPr>
          <w:p w14:paraId="6978187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发明专利</w:t>
            </w:r>
          </w:p>
        </w:tc>
        <w:tc>
          <w:tcPr>
            <w:tcW w:w="1418" w:type="dxa"/>
            <w:vAlign w:val="center"/>
          </w:tcPr>
          <w:p w14:paraId="3F4FE89F"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proofErr w:type="gramStart"/>
            <w:r>
              <w:rPr>
                <w:rFonts w:ascii="Times New Roman" w:eastAsia="仿宋_GB2312" w:hAnsi="Times New Roman" w:hint="eastAsia"/>
                <w:color w:val="0D0D0D" w:themeColor="text1" w:themeTint="F2"/>
                <w:sz w:val="21"/>
                <w:szCs w:val="21"/>
              </w:rPr>
              <w:t>一种零反的</w:t>
            </w:r>
            <w:proofErr w:type="gramEnd"/>
            <w:r>
              <w:rPr>
                <w:rFonts w:ascii="Times New Roman" w:eastAsia="仿宋_GB2312" w:hAnsi="Times New Roman" w:hint="eastAsia"/>
                <w:color w:val="0D0D0D" w:themeColor="text1" w:themeTint="F2"/>
                <w:sz w:val="21"/>
                <w:szCs w:val="21"/>
              </w:rPr>
              <w:t>绿色精准适度加工大豆油及其加工方法</w:t>
            </w:r>
          </w:p>
        </w:tc>
        <w:tc>
          <w:tcPr>
            <w:tcW w:w="425" w:type="dxa"/>
            <w:vAlign w:val="center"/>
          </w:tcPr>
          <w:p w14:paraId="779BEF9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中国</w:t>
            </w:r>
          </w:p>
        </w:tc>
        <w:tc>
          <w:tcPr>
            <w:tcW w:w="1286" w:type="dxa"/>
            <w:vAlign w:val="center"/>
          </w:tcPr>
          <w:p w14:paraId="3443F0F7" w14:textId="77777777" w:rsidR="00DB04BE" w:rsidRDefault="00000000">
            <w:pPr>
              <w:pStyle w:val="a4"/>
              <w:adjustRightInd w:val="0"/>
              <w:snapToGrid w:val="0"/>
              <w:spacing w:line="240" w:lineRule="auto"/>
              <w:ind w:firstLineChars="0" w:firstLine="0"/>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ZL202010230571.X</w:t>
            </w:r>
          </w:p>
        </w:tc>
        <w:tc>
          <w:tcPr>
            <w:tcW w:w="822" w:type="dxa"/>
            <w:vAlign w:val="center"/>
          </w:tcPr>
          <w:p w14:paraId="2D7FFDB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202</w:t>
            </w:r>
            <w:r>
              <w:rPr>
                <w:rFonts w:ascii="Times New Roman" w:eastAsia="仿宋_GB2312" w:hAnsi="Times New Roman" w:hint="eastAsia"/>
                <w:color w:val="0D0D0D" w:themeColor="text1" w:themeTint="F2"/>
                <w:sz w:val="21"/>
                <w:szCs w:val="21"/>
              </w:rPr>
              <w:t>3</w:t>
            </w:r>
            <w:r>
              <w:rPr>
                <w:rFonts w:ascii="Times New Roman" w:eastAsia="仿宋_GB2312" w:hAnsi="Times New Roman"/>
                <w:color w:val="0D0D0D" w:themeColor="text1" w:themeTint="F2"/>
                <w:sz w:val="21"/>
                <w:szCs w:val="21"/>
              </w:rPr>
              <w:t>.</w:t>
            </w:r>
            <w:r>
              <w:rPr>
                <w:rFonts w:ascii="Times New Roman" w:eastAsia="仿宋_GB2312" w:hAnsi="Times New Roman" w:hint="eastAsia"/>
                <w:color w:val="0D0D0D" w:themeColor="text1" w:themeTint="F2"/>
                <w:sz w:val="21"/>
                <w:szCs w:val="21"/>
              </w:rPr>
              <w:t>5</w:t>
            </w:r>
            <w:r>
              <w:rPr>
                <w:rFonts w:ascii="Times New Roman" w:eastAsia="仿宋_GB2312" w:hAnsi="Times New Roman"/>
                <w:color w:val="0D0D0D" w:themeColor="text1" w:themeTint="F2"/>
                <w:sz w:val="21"/>
                <w:szCs w:val="21"/>
              </w:rPr>
              <w:t>.1</w:t>
            </w:r>
            <w:r>
              <w:rPr>
                <w:rFonts w:ascii="Times New Roman" w:eastAsia="仿宋_GB2312" w:hAnsi="Times New Roman" w:hint="eastAsia"/>
                <w:color w:val="0D0D0D" w:themeColor="text1" w:themeTint="F2"/>
                <w:sz w:val="21"/>
                <w:szCs w:val="21"/>
              </w:rPr>
              <w:t>6</w:t>
            </w:r>
          </w:p>
        </w:tc>
        <w:tc>
          <w:tcPr>
            <w:tcW w:w="1010" w:type="dxa"/>
            <w:vAlign w:val="center"/>
          </w:tcPr>
          <w:p w14:paraId="22340721"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第</w:t>
            </w:r>
            <w:r>
              <w:rPr>
                <w:rFonts w:ascii="Times New Roman" w:eastAsia="仿宋_GB2312" w:hAnsi="Times New Roman" w:hint="eastAsia"/>
                <w:color w:val="0D0D0D" w:themeColor="text1" w:themeTint="F2"/>
                <w:sz w:val="21"/>
                <w:szCs w:val="21"/>
              </w:rPr>
              <w:t>5975211</w:t>
            </w:r>
            <w:r>
              <w:rPr>
                <w:rFonts w:ascii="Times New Roman" w:eastAsia="仿宋_GB2312" w:hAnsi="Times New Roman" w:hint="eastAsia"/>
                <w:color w:val="0D0D0D" w:themeColor="text1" w:themeTint="F2"/>
                <w:sz w:val="21"/>
                <w:szCs w:val="21"/>
              </w:rPr>
              <w:t>号</w:t>
            </w:r>
          </w:p>
        </w:tc>
        <w:tc>
          <w:tcPr>
            <w:tcW w:w="710" w:type="dxa"/>
            <w:vAlign w:val="center"/>
          </w:tcPr>
          <w:p w14:paraId="41024DB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hint="eastAsia"/>
                <w:color w:val="0D0D0D" w:themeColor="text1" w:themeTint="F2"/>
                <w:sz w:val="21"/>
                <w:szCs w:val="21"/>
              </w:rPr>
              <w:t>丰益（上海）生物技术研发中</w:t>
            </w:r>
            <w:r>
              <w:rPr>
                <w:rFonts w:ascii="Times New Roman" w:eastAsia="仿宋_GB2312" w:hAnsi="Times New Roman" w:hint="eastAsia"/>
                <w:color w:val="0D0D0D" w:themeColor="text1" w:themeTint="F2"/>
                <w:sz w:val="21"/>
                <w:szCs w:val="21"/>
              </w:rPr>
              <w:t xml:space="preserve"> </w:t>
            </w:r>
            <w:r>
              <w:rPr>
                <w:rFonts w:ascii="Times New Roman" w:eastAsia="仿宋_GB2312" w:hAnsi="Times New Roman" w:hint="eastAsia"/>
                <w:color w:val="0D0D0D" w:themeColor="text1" w:themeTint="F2"/>
                <w:sz w:val="21"/>
                <w:szCs w:val="21"/>
              </w:rPr>
              <w:t>心有限公司</w:t>
            </w:r>
          </w:p>
        </w:tc>
        <w:tc>
          <w:tcPr>
            <w:tcW w:w="1144" w:type="dxa"/>
            <w:vAlign w:val="center"/>
          </w:tcPr>
          <w:p w14:paraId="106B2478"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proofErr w:type="gramStart"/>
            <w:r>
              <w:rPr>
                <w:rFonts w:ascii="Times New Roman" w:eastAsia="仿宋_GB2312" w:hAnsi="Times New Roman" w:hint="eastAsia"/>
                <w:color w:val="0D0D0D" w:themeColor="text1" w:themeTint="F2"/>
                <w:sz w:val="21"/>
                <w:szCs w:val="21"/>
              </w:rPr>
              <w:t>周盛敏</w:t>
            </w:r>
            <w:proofErr w:type="gramEnd"/>
            <w:r>
              <w:rPr>
                <w:rFonts w:ascii="Times New Roman" w:eastAsia="仿宋_GB2312" w:hAnsi="Times New Roman" w:hint="eastAsia"/>
                <w:color w:val="0D0D0D" w:themeColor="text1" w:themeTint="F2"/>
                <w:sz w:val="21"/>
                <w:szCs w:val="21"/>
              </w:rPr>
              <w:t>，刘晓君，张余权，</w:t>
            </w:r>
            <w:proofErr w:type="gramStart"/>
            <w:r>
              <w:rPr>
                <w:rFonts w:ascii="Times New Roman" w:eastAsia="仿宋_GB2312" w:hAnsi="Times New Roman" w:hint="eastAsia"/>
                <w:color w:val="0D0D0D" w:themeColor="text1" w:themeTint="F2"/>
                <w:sz w:val="21"/>
                <w:szCs w:val="21"/>
              </w:rPr>
              <w:t>姜元荣</w:t>
            </w:r>
            <w:proofErr w:type="gramEnd"/>
          </w:p>
        </w:tc>
        <w:tc>
          <w:tcPr>
            <w:tcW w:w="709" w:type="dxa"/>
            <w:vAlign w:val="center"/>
          </w:tcPr>
          <w:p w14:paraId="7962C6AA"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c>
          <w:tcPr>
            <w:tcW w:w="732" w:type="dxa"/>
            <w:vAlign w:val="center"/>
          </w:tcPr>
          <w:p w14:paraId="5D6C5500" w14:textId="77777777" w:rsidR="00DB04BE" w:rsidRDefault="00000000">
            <w:pPr>
              <w:pStyle w:val="a4"/>
              <w:adjustRightInd w:val="0"/>
              <w:snapToGrid w:val="0"/>
              <w:spacing w:line="240" w:lineRule="auto"/>
              <w:ind w:firstLineChars="0" w:firstLine="0"/>
              <w:jc w:val="center"/>
              <w:rPr>
                <w:rFonts w:ascii="Times New Roman" w:eastAsia="仿宋_GB2312" w:hAnsi="Times New Roman"/>
                <w:color w:val="0D0D0D" w:themeColor="text1" w:themeTint="F2"/>
                <w:sz w:val="21"/>
                <w:szCs w:val="21"/>
              </w:rPr>
            </w:pPr>
            <w:r>
              <w:rPr>
                <w:rFonts w:ascii="Times New Roman" w:eastAsia="仿宋_GB2312" w:hAnsi="Times New Roman"/>
                <w:color w:val="0D0D0D" w:themeColor="text1" w:themeTint="F2"/>
                <w:sz w:val="21"/>
                <w:szCs w:val="21"/>
              </w:rPr>
              <w:t>否</w:t>
            </w:r>
          </w:p>
        </w:tc>
      </w:tr>
    </w:tbl>
    <w:p w14:paraId="1BABE46E"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六、完成人</w:t>
      </w:r>
    </w:p>
    <w:p w14:paraId="2C6703E3" w14:textId="77777777" w:rsidR="00DB04BE"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完成人情况及贡献</w:t>
      </w:r>
    </w:p>
    <w:tbl>
      <w:tblPr>
        <w:tblW w:w="9212"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503"/>
        <w:gridCol w:w="885"/>
        <w:gridCol w:w="885"/>
        <w:gridCol w:w="885"/>
        <w:gridCol w:w="1062"/>
        <w:gridCol w:w="1059"/>
        <w:gridCol w:w="3933"/>
      </w:tblGrid>
      <w:tr w:rsidR="00DB04BE" w14:paraId="19D7D0A7" w14:textId="77777777">
        <w:trPr>
          <w:trHeight w:val="20"/>
          <w:jc w:val="center"/>
        </w:trPr>
        <w:tc>
          <w:tcPr>
            <w:tcW w:w="503" w:type="dxa"/>
            <w:vAlign w:val="center"/>
          </w:tcPr>
          <w:p w14:paraId="070CF096"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排名</w:t>
            </w:r>
          </w:p>
        </w:tc>
        <w:tc>
          <w:tcPr>
            <w:tcW w:w="885" w:type="dxa"/>
            <w:vAlign w:val="center"/>
          </w:tcPr>
          <w:p w14:paraId="16766B28"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姓名</w:t>
            </w:r>
          </w:p>
        </w:tc>
        <w:tc>
          <w:tcPr>
            <w:tcW w:w="885" w:type="dxa"/>
            <w:vAlign w:val="center"/>
          </w:tcPr>
          <w:p w14:paraId="57F9AE01"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职务</w:t>
            </w:r>
          </w:p>
        </w:tc>
        <w:tc>
          <w:tcPr>
            <w:tcW w:w="885" w:type="dxa"/>
            <w:vAlign w:val="center"/>
          </w:tcPr>
          <w:p w14:paraId="2095395A"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职称</w:t>
            </w:r>
          </w:p>
        </w:tc>
        <w:tc>
          <w:tcPr>
            <w:tcW w:w="1062" w:type="dxa"/>
            <w:vAlign w:val="center"/>
          </w:tcPr>
          <w:p w14:paraId="17C5F52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工作单位</w:t>
            </w:r>
          </w:p>
        </w:tc>
        <w:tc>
          <w:tcPr>
            <w:tcW w:w="1059" w:type="dxa"/>
            <w:vAlign w:val="center"/>
          </w:tcPr>
          <w:p w14:paraId="2059DF1D"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完成单位</w:t>
            </w:r>
          </w:p>
        </w:tc>
        <w:tc>
          <w:tcPr>
            <w:tcW w:w="3933" w:type="dxa"/>
            <w:vAlign w:val="center"/>
          </w:tcPr>
          <w:p w14:paraId="32D1132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对本项目的贡献</w:t>
            </w:r>
          </w:p>
        </w:tc>
      </w:tr>
      <w:tr w:rsidR="00DB04BE" w14:paraId="65B65F49" w14:textId="77777777">
        <w:trPr>
          <w:trHeight w:val="20"/>
          <w:jc w:val="center"/>
        </w:trPr>
        <w:tc>
          <w:tcPr>
            <w:tcW w:w="503" w:type="dxa"/>
            <w:vAlign w:val="center"/>
          </w:tcPr>
          <w:p w14:paraId="076C4D38"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885" w:type="dxa"/>
            <w:vAlign w:val="center"/>
          </w:tcPr>
          <w:p w14:paraId="60DB19CF"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李静</w:t>
            </w:r>
          </w:p>
        </w:tc>
        <w:tc>
          <w:tcPr>
            <w:tcW w:w="885" w:type="dxa"/>
            <w:vAlign w:val="center"/>
          </w:tcPr>
          <w:p w14:paraId="507A0A71"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74EF6EA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20743809"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25967C6D"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19301C32"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项目整体思路的设计；对创新点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做出重要贡献；开展了三次中国居民反式脂肪酸摄入量调查及风险评估；阐明了工业源和反刍动物</w:t>
            </w:r>
            <w:proofErr w:type="gramStart"/>
            <w:r>
              <w:rPr>
                <w:rFonts w:ascii="Times New Roman" w:eastAsia="仿宋_GB2312" w:hAnsi="Times New Roman" w:cs="Times New Roman" w:hint="eastAsia"/>
                <w:bCs/>
                <w:szCs w:val="21"/>
              </w:rPr>
              <w:t>源反式</w:t>
            </w:r>
            <w:proofErr w:type="gramEnd"/>
            <w:r>
              <w:rPr>
                <w:rFonts w:ascii="Times New Roman" w:eastAsia="仿宋_GB2312" w:hAnsi="Times New Roman" w:cs="Times New Roman" w:hint="eastAsia"/>
                <w:bCs/>
                <w:szCs w:val="21"/>
              </w:rPr>
              <w:t>脂肪酸对心血管健康影响及其机制；创制了零工</w:t>
            </w:r>
            <w:proofErr w:type="gramStart"/>
            <w:r>
              <w:rPr>
                <w:rFonts w:ascii="Times New Roman" w:eastAsia="仿宋_GB2312" w:hAnsi="Times New Roman" w:cs="Times New Roman" w:hint="eastAsia"/>
                <w:bCs/>
                <w:szCs w:val="21"/>
              </w:rPr>
              <w:t>业反式</w:t>
            </w:r>
            <w:proofErr w:type="gramEnd"/>
            <w:r>
              <w:rPr>
                <w:rFonts w:ascii="Times New Roman" w:eastAsia="仿宋_GB2312" w:hAnsi="Times New Roman" w:cs="Times New Roman" w:hint="eastAsia"/>
                <w:bCs/>
                <w:szCs w:val="21"/>
              </w:rPr>
              <w:t>脂肪酸食用油控制关键技术和饲料精准调控牛奶中反式脂肪酸含量的关键技术。</w:t>
            </w:r>
          </w:p>
        </w:tc>
      </w:tr>
      <w:tr w:rsidR="00DB04BE" w14:paraId="4D7F707D" w14:textId="77777777">
        <w:trPr>
          <w:trHeight w:val="20"/>
          <w:jc w:val="center"/>
        </w:trPr>
        <w:tc>
          <w:tcPr>
            <w:tcW w:w="503" w:type="dxa"/>
            <w:vAlign w:val="center"/>
          </w:tcPr>
          <w:p w14:paraId="20726B68"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885" w:type="dxa"/>
            <w:vAlign w:val="center"/>
          </w:tcPr>
          <w:p w14:paraId="608F403B"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邓泽元</w:t>
            </w:r>
          </w:p>
        </w:tc>
        <w:tc>
          <w:tcPr>
            <w:tcW w:w="885" w:type="dxa"/>
            <w:vAlign w:val="center"/>
          </w:tcPr>
          <w:p w14:paraId="72A0144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02363FB6"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教授工</w:t>
            </w:r>
            <w:r>
              <w:rPr>
                <w:rFonts w:ascii="Times New Roman" w:eastAsia="仿宋_GB2312" w:hAnsi="Times New Roman" w:cs="Times New Roman" w:hint="eastAsia"/>
                <w:bCs/>
                <w:szCs w:val="21"/>
              </w:rPr>
              <w:lastRenderedPageBreak/>
              <w:t>程师</w:t>
            </w:r>
          </w:p>
        </w:tc>
        <w:tc>
          <w:tcPr>
            <w:tcW w:w="1062" w:type="dxa"/>
            <w:vAlign w:val="center"/>
          </w:tcPr>
          <w:p w14:paraId="7636D5D9"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lastRenderedPageBreak/>
              <w:t>南昌大学</w:t>
            </w:r>
          </w:p>
        </w:tc>
        <w:tc>
          <w:tcPr>
            <w:tcW w:w="1059" w:type="dxa"/>
            <w:vAlign w:val="center"/>
          </w:tcPr>
          <w:p w14:paraId="30B6D089"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706AD522"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bCs/>
                <w:szCs w:val="21"/>
              </w:rPr>
              <w:t>项目总体设计与协调</w:t>
            </w:r>
            <w:r>
              <w:rPr>
                <w:rFonts w:ascii="Times New Roman" w:eastAsia="仿宋_GB2312" w:hAnsi="Times New Roman" w:cs="Times New Roman" w:hint="eastAsia"/>
                <w:bCs/>
                <w:szCs w:val="21"/>
              </w:rPr>
              <w:t>；</w:t>
            </w:r>
            <w:r>
              <w:rPr>
                <w:rFonts w:ascii="Times New Roman" w:eastAsia="仿宋_GB2312" w:hAnsi="Times New Roman" w:cs="Times New Roman"/>
                <w:bCs/>
                <w:szCs w:val="21"/>
              </w:rPr>
              <w:t>对创新点</w:t>
            </w:r>
            <w:r>
              <w:rPr>
                <w:rFonts w:ascii="Times New Roman" w:eastAsia="仿宋_GB2312" w:hAnsi="Times New Roman" w:cs="Times New Roman"/>
                <w:bCs/>
                <w:szCs w:val="21"/>
              </w:rPr>
              <w:t>1</w:t>
            </w:r>
            <w:r>
              <w:rPr>
                <w:rFonts w:ascii="Times New Roman" w:eastAsia="仿宋_GB2312" w:hAnsi="Times New Roman" w:cs="Times New Roman"/>
                <w:bCs/>
                <w:szCs w:val="21"/>
              </w:rPr>
              <w:t>、</w:t>
            </w:r>
            <w:r>
              <w:rPr>
                <w:rFonts w:ascii="Times New Roman" w:eastAsia="仿宋_GB2312" w:hAnsi="Times New Roman" w:cs="Times New Roman"/>
                <w:bCs/>
                <w:szCs w:val="21"/>
              </w:rPr>
              <w:t>2</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lastRenderedPageBreak/>
              <w:t>3</w:t>
            </w:r>
            <w:r>
              <w:rPr>
                <w:rFonts w:ascii="Times New Roman" w:eastAsia="仿宋_GB2312" w:hAnsi="Times New Roman" w:cs="Times New Roman"/>
                <w:bCs/>
                <w:szCs w:val="21"/>
              </w:rPr>
              <w:t>做出</w:t>
            </w:r>
            <w:r>
              <w:rPr>
                <w:rFonts w:ascii="Times New Roman" w:eastAsia="仿宋_GB2312" w:hAnsi="Times New Roman" w:cs="Times New Roman" w:hint="eastAsia"/>
                <w:bCs/>
                <w:szCs w:val="21"/>
              </w:rPr>
              <w:t>重要</w:t>
            </w:r>
            <w:r>
              <w:rPr>
                <w:rFonts w:ascii="Times New Roman" w:eastAsia="仿宋_GB2312" w:hAnsi="Times New Roman" w:cs="Times New Roman"/>
                <w:bCs/>
                <w:szCs w:val="21"/>
              </w:rPr>
              <w:t>贡献。</w:t>
            </w:r>
            <w:r>
              <w:rPr>
                <w:rFonts w:ascii="Times New Roman" w:eastAsia="仿宋_GB2312" w:hAnsi="Times New Roman" w:cs="Times New Roman" w:hint="eastAsia"/>
                <w:bCs/>
                <w:szCs w:val="21"/>
              </w:rPr>
              <w:t>建立了反式脂肪酸的检测方法；开展了两次全国性中国居民反式脂肪酸摄入量调查及风险评估；系统阐明了工业</w:t>
            </w:r>
            <w:proofErr w:type="gramStart"/>
            <w:r>
              <w:rPr>
                <w:rFonts w:ascii="Times New Roman" w:eastAsia="仿宋_GB2312" w:hAnsi="Times New Roman" w:cs="Times New Roman" w:hint="eastAsia"/>
                <w:bCs/>
                <w:szCs w:val="21"/>
              </w:rPr>
              <w:t>源反式</w:t>
            </w:r>
            <w:proofErr w:type="gramEnd"/>
            <w:r>
              <w:rPr>
                <w:rFonts w:ascii="Times New Roman" w:eastAsia="仿宋_GB2312" w:hAnsi="Times New Roman" w:cs="Times New Roman" w:hint="eastAsia"/>
                <w:bCs/>
                <w:szCs w:val="21"/>
              </w:rPr>
              <w:t>脂肪酸对心血管健康影响及其机制；开发了零工</w:t>
            </w:r>
            <w:proofErr w:type="gramStart"/>
            <w:r>
              <w:rPr>
                <w:rFonts w:ascii="Times New Roman" w:eastAsia="仿宋_GB2312" w:hAnsi="Times New Roman" w:cs="Times New Roman" w:hint="eastAsia"/>
                <w:bCs/>
                <w:szCs w:val="21"/>
              </w:rPr>
              <w:t>业反式</w:t>
            </w:r>
            <w:proofErr w:type="gramEnd"/>
            <w:r>
              <w:rPr>
                <w:rFonts w:ascii="Times New Roman" w:eastAsia="仿宋_GB2312" w:hAnsi="Times New Roman" w:cs="Times New Roman" w:hint="eastAsia"/>
                <w:bCs/>
                <w:szCs w:val="21"/>
              </w:rPr>
              <w:t>脂肪酸食用油控制关键技术。</w:t>
            </w:r>
          </w:p>
        </w:tc>
      </w:tr>
      <w:tr w:rsidR="00DB04BE" w14:paraId="405AC30A" w14:textId="77777777">
        <w:trPr>
          <w:trHeight w:val="690"/>
          <w:jc w:val="center"/>
        </w:trPr>
        <w:tc>
          <w:tcPr>
            <w:tcW w:w="503" w:type="dxa"/>
            <w:vAlign w:val="center"/>
          </w:tcPr>
          <w:p w14:paraId="2D0B3E0F"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3</w:t>
            </w:r>
          </w:p>
        </w:tc>
        <w:tc>
          <w:tcPr>
            <w:tcW w:w="885" w:type="dxa"/>
            <w:vAlign w:val="center"/>
          </w:tcPr>
          <w:p w14:paraId="23588657" w14:textId="77777777" w:rsidR="00DB04BE" w:rsidRDefault="00000000">
            <w:pPr>
              <w:jc w:val="center"/>
              <w:rPr>
                <w:rFonts w:ascii="Times New Roman" w:eastAsia="仿宋_GB2312" w:hAnsi="Times New Roman" w:cs="Times New Roman"/>
                <w:bCs/>
                <w:szCs w:val="21"/>
              </w:rPr>
            </w:pPr>
            <w:bookmarkStart w:id="0" w:name="_Hlk180838667"/>
            <w:bookmarkEnd w:id="0"/>
            <w:proofErr w:type="gramStart"/>
            <w:r>
              <w:rPr>
                <w:rFonts w:ascii="Times New Roman" w:eastAsia="仿宋_GB2312" w:hAnsi="Times New Roman" w:cs="Times New Roman" w:hint="eastAsia"/>
              </w:rPr>
              <w:t>姜元荣</w:t>
            </w:r>
            <w:proofErr w:type="gramEnd"/>
          </w:p>
        </w:tc>
        <w:tc>
          <w:tcPr>
            <w:tcW w:w="885" w:type="dxa"/>
            <w:vAlign w:val="center"/>
          </w:tcPr>
          <w:p w14:paraId="1626769F"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总经理</w:t>
            </w:r>
          </w:p>
        </w:tc>
        <w:tc>
          <w:tcPr>
            <w:tcW w:w="885" w:type="dxa"/>
            <w:vAlign w:val="center"/>
          </w:tcPr>
          <w:p w14:paraId="5CA1826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研究员</w:t>
            </w:r>
          </w:p>
        </w:tc>
        <w:tc>
          <w:tcPr>
            <w:tcW w:w="1062" w:type="dxa"/>
            <w:vAlign w:val="center"/>
          </w:tcPr>
          <w:p w14:paraId="3B13D486"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丰益</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上海</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生物技术研发中心有限公司</w:t>
            </w:r>
          </w:p>
        </w:tc>
        <w:tc>
          <w:tcPr>
            <w:tcW w:w="1059" w:type="dxa"/>
            <w:vAlign w:val="center"/>
          </w:tcPr>
          <w:p w14:paraId="02CCFA3E"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丰益</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上海</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生物技术研发中心有限公司</w:t>
            </w:r>
          </w:p>
        </w:tc>
        <w:tc>
          <w:tcPr>
            <w:tcW w:w="3933" w:type="dxa"/>
            <w:vAlign w:val="center"/>
          </w:tcPr>
          <w:p w14:paraId="0CA8BCAC"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“零工业反式脂肪酸植物油控制关键技术”，做出创造性贡献。在工业上优化了了葵花籽油、稻米油、大豆油、亚麻籽油等植物油的</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脂肪酸关键工艺参数和设备改造，并负责将项目研究成果推广应用于嘉里粮油有限公司各分公司，为消费者提供高品质食用油，产生较好的经济效益和社会效益。</w:t>
            </w:r>
          </w:p>
        </w:tc>
      </w:tr>
      <w:tr w:rsidR="00DB04BE" w14:paraId="3777208A" w14:textId="77777777">
        <w:trPr>
          <w:trHeight w:val="690"/>
          <w:jc w:val="center"/>
        </w:trPr>
        <w:tc>
          <w:tcPr>
            <w:tcW w:w="503" w:type="dxa"/>
            <w:vAlign w:val="center"/>
          </w:tcPr>
          <w:p w14:paraId="74F93C13"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4</w:t>
            </w:r>
          </w:p>
        </w:tc>
        <w:tc>
          <w:tcPr>
            <w:tcW w:w="885" w:type="dxa"/>
            <w:vAlign w:val="center"/>
          </w:tcPr>
          <w:p w14:paraId="1882939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邱斌</w:t>
            </w:r>
          </w:p>
        </w:tc>
        <w:tc>
          <w:tcPr>
            <w:tcW w:w="885" w:type="dxa"/>
            <w:shd w:val="clear" w:color="auto" w:fill="auto"/>
            <w:vAlign w:val="center"/>
          </w:tcPr>
          <w:p w14:paraId="64642CD1"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主任</w:t>
            </w:r>
          </w:p>
        </w:tc>
        <w:tc>
          <w:tcPr>
            <w:tcW w:w="885" w:type="dxa"/>
            <w:vAlign w:val="center"/>
          </w:tcPr>
          <w:p w14:paraId="72183387"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副研究员</w:t>
            </w:r>
          </w:p>
        </w:tc>
        <w:tc>
          <w:tcPr>
            <w:tcW w:w="1062" w:type="dxa"/>
            <w:vAlign w:val="center"/>
          </w:tcPr>
          <w:p w14:paraId="257DA793"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山东省农业科学院</w:t>
            </w:r>
          </w:p>
        </w:tc>
        <w:tc>
          <w:tcPr>
            <w:tcW w:w="1059" w:type="dxa"/>
            <w:vAlign w:val="center"/>
          </w:tcPr>
          <w:p w14:paraId="60926AAC"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山东省农业科学院</w:t>
            </w:r>
          </w:p>
        </w:tc>
        <w:tc>
          <w:tcPr>
            <w:tcW w:w="3933" w:type="dxa"/>
            <w:vAlign w:val="center"/>
          </w:tcPr>
          <w:p w14:paraId="6C133222"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“工业反式脂肪酸对心血管健康影响的机制研究”，做出创造性贡献。证实了反式脂肪酸通过</w:t>
            </w:r>
            <w:r>
              <w:rPr>
                <w:rFonts w:ascii="Times New Roman" w:eastAsia="仿宋_GB2312" w:hAnsi="Times New Roman" w:cs="Times New Roman" w:hint="eastAsia"/>
                <w:bCs/>
                <w:szCs w:val="21"/>
              </w:rPr>
              <w:t>caspase</w:t>
            </w:r>
            <w:r>
              <w:rPr>
                <w:rFonts w:ascii="Times New Roman" w:eastAsia="仿宋_GB2312" w:hAnsi="Times New Roman" w:cs="Times New Roman" w:hint="eastAsia"/>
                <w:bCs/>
                <w:szCs w:val="21"/>
              </w:rPr>
              <w:t>通路诱导内皮细胞凋亡，探明了反式脂肪酸诱导内皮细胞损伤的相关炎症通路。</w:t>
            </w:r>
          </w:p>
        </w:tc>
      </w:tr>
      <w:tr w:rsidR="00DB04BE" w14:paraId="5BE19470" w14:textId="77777777">
        <w:trPr>
          <w:trHeight w:val="690"/>
          <w:jc w:val="center"/>
        </w:trPr>
        <w:tc>
          <w:tcPr>
            <w:tcW w:w="503" w:type="dxa"/>
            <w:vAlign w:val="center"/>
          </w:tcPr>
          <w:p w14:paraId="70280E0B"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885" w:type="dxa"/>
            <w:vAlign w:val="center"/>
          </w:tcPr>
          <w:p w14:paraId="4BAFB9E0"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刘文剑</w:t>
            </w:r>
          </w:p>
        </w:tc>
        <w:tc>
          <w:tcPr>
            <w:tcW w:w="885" w:type="dxa"/>
            <w:vAlign w:val="center"/>
          </w:tcPr>
          <w:p w14:paraId="2F7AA636"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副总经理</w:t>
            </w:r>
          </w:p>
        </w:tc>
        <w:tc>
          <w:tcPr>
            <w:tcW w:w="885" w:type="dxa"/>
            <w:vAlign w:val="center"/>
          </w:tcPr>
          <w:p w14:paraId="0F47254F"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1062" w:type="dxa"/>
            <w:vAlign w:val="center"/>
          </w:tcPr>
          <w:p w14:paraId="376F0A50"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江西青龙高科油脂有限公司</w:t>
            </w:r>
          </w:p>
        </w:tc>
        <w:tc>
          <w:tcPr>
            <w:tcW w:w="1059" w:type="dxa"/>
            <w:vAlign w:val="center"/>
          </w:tcPr>
          <w:p w14:paraId="39EB64E5"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江西青龙高科油脂有限公司</w:t>
            </w:r>
          </w:p>
        </w:tc>
        <w:tc>
          <w:tcPr>
            <w:tcW w:w="3933" w:type="dxa"/>
            <w:vAlign w:val="center"/>
          </w:tcPr>
          <w:p w14:paraId="168A8A1F"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“零工业反式脂肪酸植物油控制关键技术”，做出创造性贡献。在工业上优化了了茶油等植物油的</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脂肪酸关键工艺参数和设备改造，并负责将项目研究成果推广应用于江西青龙高科油脂有限公司，为消费者提供高品质食用油，产生较好的经济效益和社会效益。</w:t>
            </w:r>
          </w:p>
        </w:tc>
      </w:tr>
      <w:tr w:rsidR="00DB04BE" w14:paraId="3039092F" w14:textId="77777777">
        <w:trPr>
          <w:trHeight w:val="690"/>
          <w:jc w:val="center"/>
        </w:trPr>
        <w:tc>
          <w:tcPr>
            <w:tcW w:w="503" w:type="dxa"/>
            <w:vAlign w:val="center"/>
          </w:tcPr>
          <w:p w14:paraId="780869F8"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6</w:t>
            </w:r>
          </w:p>
        </w:tc>
        <w:tc>
          <w:tcPr>
            <w:tcW w:w="885" w:type="dxa"/>
            <w:vAlign w:val="center"/>
          </w:tcPr>
          <w:p w14:paraId="75D654C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徐学兵</w:t>
            </w:r>
          </w:p>
        </w:tc>
        <w:tc>
          <w:tcPr>
            <w:tcW w:w="885" w:type="dxa"/>
            <w:shd w:val="clear" w:color="auto" w:fill="auto"/>
            <w:vAlign w:val="center"/>
          </w:tcPr>
          <w:p w14:paraId="3A7EBED7"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首席科学家</w:t>
            </w:r>
          </w:p>
        </w:tc>
        <w:tc>
          <w:tcPr>
            <w:tcW w:w="885" w:type="dxa"/>
            <w:vAlign w:val="center"/>
          </w:tcPr>
          <w:p w14:paraId="2B6C1DA4"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教授</w:t>
            </w:r>
          </w:p>
        </w:tc>
        <w:tc>
          <w:tcPr>
            <w:tcW w:w="1062" w:type="dxa"/>
            <w:vAlign w:val="center"/>
          </w:tcPr>
          <w:p w14:paraId="6DB9E6C1"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上海</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生物技术研发中心有限公司</w:t>
            </w:r>
          </w:p>
        </w:tc>
        <w:tc>
          <w:tcPr>
            <w:tcW w:w="1059" w:type="dxa"/>
            <w:vAlign w:val="center"/>
          </w:tcPr>
          <w:p w14:paraId="0FD6739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上海</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生物技术研发中心有限公司</w:t>
            </w:r>
          </w:p>
        </w:tc>
        <w:tc>
          <w:tcPr>
            <w:tcW w:w="3933" w:type="dxa"/>
            <w:vAlign w:val="center"/>
          </w:tcPr>
          <w:p w14:paraId="311C92D0"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“零工业反式脂肪酸植物油控制关键技术”，做出创造性贡献。创新双塔双</w:t>
            </w:r>
            <w:proofErr w:type="gramStart"/>
            <w:r>
              <w:rPr>
                <w:rFonts w:ascii="Times New Roman" w:eastAsia="仿宋_GB2312" w:hAnsi="Times New Roman" w:cs="Times New Roman" w:hint="eastAsia"/>
                <w:bCs/>
                <w:szCs w:val="21"/>
              </w:rPr>
              <w:t>温技术</w:t>
            </w:r>
            <w:proofErr w:type="gramEnd"/>
            <w:r>
              <w:rPr>
                <w:rFonts w:ascii="Times New Roman" w:eastAsia="仿宋_GB2312" w:hAnsi="Times New Roman" w:cs="Times New Roman" w:hint="eastAsia"/>
                <w:bCs/>
                <w:szCs w:val="21"/>
              </w:rPr>
              <w:t>脱臭技术，实现了</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脂肪酸、高脂溶性营养伴随物的高品质食用油制备关键技术，并负责将项目研究成果推广应用于嘉里粮油有限公司各分公司，为消费者提供高品质食用油，产生较好的经济效益和社会效益。</w:t>
            </w:r>
          </w:p>
        </w:tc>
      </w:tr>
      <w:tr w:rsidR="00DB04BE" w14:paraId="549CDAFB" w14:textId="77777777">
        <w:trPr>
          <w:trHeight w:val="690"/>
          <w:jc w:val="center"/>
        </w:trPr>
        <w:tc>
          <w:tcPr>
            <w:tcW w:w="503" w:type="dxa"/>
            <w:vAlign w:val="center"/>
          </w:tcPr>
          <w:p w14:paraId="17221ED4"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7</w:t>
            </w:r>
          </w:p>
        </w:tc>
        <w:tc>
          <w:tcPr>
            <w:tcW w:w="885" w:type="dxa"/>
            <w:vAlign w:val="center"/>
          </w:tcPr>
          <w:p w14:paraId="13055AD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陈芳</w:t>
            </w:r>
          </w:p>
        </w:tc>
        <w:tc>
          <w:tcPr>
            <w:tcW w:w="885" w:type="dxa"/>
            <w:vAlign w:val="center"/>
          </w:tcPr>
          <w:p w14:paraId="4F79FFC8"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16567F2A"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副教授</w:t>
            </w:r>
          </w:p>
        </w:tc>
        <w:tc>
          <w:tcPr>
            <w:tcW w:w="1062" w:type="dxa"/>
            <w:vAlign w:val="center"/>
          </w:tcPr>
          <w:p w14:paraId="0F592A21"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1059" w:type="dxa"/>
            <w:vAlign w:val="center"/>
          </w:tcPr>
          <w:p w14:paraId="6AB1EC7B"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3933" w:type="dxa"/>
            <w:vAlign w:val="center"/>
          </w:tcPr>
          <w:p w14:paraId="46CA293D"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“工业反式脂肪酸对心血管健康影响的机制研究”，做出创造性贡献。探讨了反刍动物</w:t>
            </w:r>
            <w:proofErr w:type="gramStart"/>
            <w:r>
              <w:rPr>
                <w:rFonts w:ascii="Times New Roman" w:eastAsia="仿宋_GB2312" w:hAnsi="Times New Roman" w:cs="Times New Roman" w:hint="eastAsia"/>
                <w:bCs/>
                <w:szCs w:val="21"/>
              </w:rPr>
              <w:t>源反式</w:t>
            </w:r>
            <w:proofErr w:type="gramEnd"/>
            <w:r>
              <w:rPr>
                <w:rFonts w:ascii="Times New Roman" w:eastAsia="仿宋_GB2312" w:hAnsi="Times New Roman" w:cs="Times New Roman" w:hint="eastAsia"/>
                <w:bCs/>
                <w:szCs w:val="21"/>
              </w:rPr>
              <w:t>脂肪酸</w:t>
            </w:r>
            <w:r>
              <w:rPr>
                <w:rFonts w:ascii="Times New Roman" w:eastAsia="仿宋_GB2312" w:hAnsi="Times New Roman" w:cs="Times New Roman" w:hint="eastAsia"/>
                <w:bCs/>
                <w:szCs w:val="21"/>
              </w:rPr>
              <w:t>11t18:1</w:t>
            </w:r>
            <w:r>
              <w:rPr>
                <w:rFonts w:ascii="Times New Roman" w:eastAsia="仿宋_GB2312" w:hAnsi="Times New Roman" w:cs="Times New Roman" w:hint="eastAsia"/>
                <w:bCs/>
                <w:szCs w:val="21"/>
              </w:rPr>
              <w:t>和工业</w:t>
            </w:r>
            <w:proofErr w:type="gramStart"/>
            <w:r>
              <w:rPr>
                <w:rFonts w:ascii="Times New Roman" w:eastAsia="仿宋_GB2312" w:hAnsi="Times New Roman" w:cs="Times New Roman" w:hint="eastAsia"/>
                <w:bCs/>
                <w:szCs w:val="21"/>
              </w:rPr>
              <w:t>源反式</w:t>
            </w:r>
            <w:proofErr w:type="gramEnd"/>
            <w:r>
              <w:rPr>
                <w:rFonts w:ascii="Times New Roman" w:eastAsia="仿宋_GB2312" w:hAnsi="Times New Roman" w:cs="Times New Roman" w:hint="eastAsia"/>
                <w:bCs/>
                <w:szCs w:val="21"/>
              </w:rPr>
              <w:t>9t18:1</w:t>
            </w:r>
            <w:r>
              <w:rPr>
                <w:rFonts w:ascii="Times New Roman" w:eastAsia="仿宋_GB2312" w:hAnsi="Times New Roman" w:cs="Times New Roman" w:hint="eastAsia"/>
                <w:bCs/>
                <w:szCs w:val="21"/>
              </w:rPr>
              <w:t>影响人脐静脉内皮细胞炎症的潜在机制。研究分析了</w:t>
            </w:r>
            <w:r>
              <w:rPr>
                <w:rFonts w:ascii="Times New Roman" w:eastAsia="仿宋_GB2312" w:hAnsi="Times New Roman" w:cs="Times New Roman" w:hint="eastAsia"/>
                <w:bCs/>
                <w:szCs w:val="21"/>
              </w:rPr>
              <w:t>9t18:1</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11t18:1</w:t>
            </w:r>
            <w:r>
              <w:rPr>
                <w:rFonts w:ascii="Times New Roman" w:eastAsia="仿宋_GB2312" w:hAnsi="Times New Roman" w:cs="Times New Roman" w:hint="eastAsia"/>
                <w:bCs/>
                <w:szCs w:val="21"/>
              </w:rPr>
              <w:t>对人脐静脉内皮细胞功能的影响及可能的炎症机制。</w:t>
            </w:r>
          </w:p>
        </w:tc>
      </w:tr>
      <w:tr w:rsidR="00DB04BE" w14:paraId="1B356EE7" w14:textId="77777777">
        <w:trPr>
          <w:trHeight w:val="690"/>
          <w:jc w:val="center"/>
        </w:trPr>
        <w:tc>
          <w:tcPr>
            <w:tcW w:w="503" w:type="dxa"/>
            <w:vAlign w:val="center"/>
          </w:tcPr>
          <w:p w14:paraId="2089B683"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8</w:t>
            </w:r>
          </w:p>
        </w:tc>
        <w:tc>
          <w:tcPr>
            <w:tcW w:w="885" w:type="dxa"/>
            <w:vAlign w:val="center"/>
          </w:tcPr>
          <w:p w14:paraId="5E2B859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罗婷</w:t>
            </w:r>
          </w:p>
        </w:tc>
        <w:tc>
          <w:tcPr>
            <w:tcW w:w="885" w:type="dxa"/>
            <w:vAlign w:val="center"/>
          </w:tcPr>
          <w:p w14:paraId="46B024E7"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无</w:t>
            </w:r>
          </w:p>
        </w:tc>
        <w:tc>
          <w:tcPr>
            <w:tcW w:w="885" w:type="dxa"/>
            <w:vAlign w:val="center"/>
          </w:tcPr>
          <w:p w14:paraId="6E849D36"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vAlign w:val="center"/>
          </w:tcPr>
          <w:p w14:paraId="7090250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64E8E2CB"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55516594"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做出贡献。参与了中国居民反式脂肪酸摄入量调查及风险评估；</w:t>
            </w:r>
          </w:p>
          <w:p w14:paraId="2EB2C4D2"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阐明了探究了工业源和反刍动物</w:t>
            </w:r>
            <w:proofErr w:type="gramStart"/>
            <w:r>
              <w:rPr>
                <w:rFonts w:ascii="Times New Roman" w:eastAsia="仿宋_GB2312" w:hAnsi="Times New Roman" w:cs="Times New Roman" w:hint="eastAsia"/>
                <w:bCs/>
                <w:szCs w:val="21"/>
              </w:rPr>
              <w:t>源反式</w:t>
            </w:r>
            <w:proofErr w:type="gramEnd"/>
            <w:r>
              <w:rPr>
                <w:rFonts w:ascii="Times New Roman" w:eastAsia="仿宋_GB2312" w:hAnsi="Times New Roman" w:cs="Times New Roman" w:hint="eastAsia"/>
                <w:bCs/>
                <w:szCs w:val="21"/>
              </w:rPr>
              <w:lastRenderedPageBreak/>
              <w:t>脂肪酸对心血管健康影响的差异及机制。</w:t>
            </w:r>
          </w:p>
        </w:tc>
      </w:tr>
      <w:tr w:rsidR="00DB04BE" w14:paraId="1C40F4C3" w14:textId="77777777">
        <w:trPr>
          <w:trHeight w:val="690"/>
          <w:jc w:val="center"/>
        </w:trPr>
        <w:tc>
          <w:tcPr>
            <w:tcW w:w="503" w:type="dxa"/>
            <w:vAlign w:val="center"/>
          </w:tcPr>
          <w:p w14:paraId="6BEC59C0"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9</w:t>
            </w:r>
          </w:p>
        </w:tc>
        <w:tc>
          <w:tcPr>
            <w:tcW w:w="885" w:type="dxa"/>
            <w:vAlign w:val="center"/>
          </w:tcPr>
          <w:p w14:paraId="653BFFAD" w14:textId="77777777" w:rsidR="00DB04BE" w:rsidRDefault="00000000">
            <w:pPr>
              <w:jc w:val="center"/>
              <w:rPr>
                <w:rFonts w:ascii="Times New Roman" w:eastAsia="仿宋_GB2312" w:hAnsi="Times New Roman" w:cs="Times New Roman"/>
                <w:bCs/>
                <w:szCs w:val="21"/>
              </w:rPr>
            </w:pPr>
            <w:proofErr w:type="gramStart"/>
            <w:r>
              <w:rPr>
                <w:rFonts w:ascii="Times New Roman" w:eastAsia="仿宋_GB2312" w:hAnsi="Times New Roman" w:cs="Times New Roman" w:hint="eastAsia"/>
                <w:bCs/>
                <w:szCs w:val="21"/>
              </w:rPr>
              <w:t>周盛敏</w:t>
            </w:r>
            <w:proofErr w:type="gramEnd"/>
          </w:p>
        </w:tc>
        <w:tc>
          <w:tcPr>
            <w:tcW w:w="885" w:type="dxa"/>
            <w:vAlign w:val="center"/>
          </w:tcPr>
          <w:p w14:paraId="49CC8376"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研发经理</w:t>
            </w:r>
          </w:p>
        </w:tc>
        <w:tc>
          <w:tcPr>
            <w:tcW w:w="885" w:type="dxa"/>
            <w:vAlign w:val="center"/>
          </w:tcPr>
          <w:p w14:paraId="45DC2A1F"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正高级工程师</w:t>
            </w:r>
          </w:p>
        </w:tc>
        <w:tc>
          <w:tcPr>
            <w:tcW w:w="1062" w:type="dxa"/>
            <w:vAlign w:val="center"/>
          </w:tcPr>
          <w:p w14:paraId="2A48C27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丰益（上海）生物技术研发中心有限公司</w:t>
            </w:r>
          </w:p>
        </w:tc>
        <w:tc>
          <w:tcPr>
            <w:tcW w:w="1059" w:type="dxa"/>
            <w:vAlign w:val="center"/>
          </w:tcPr>
          <w:p w14:paraId="445891CA"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丰益（上海）生物技术研发中心有限公司</w:t>
            </w:r>
          </w:p>
        </w:tc>
        <w:tc>
          <w:tcPr>
            <w:tcW w:w="3933" w:type="dxa"/>
            <w:vAlign w:val="center"/>
          </w:tcPr>
          <w:p w14:paraId="14DDCE53"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“零工业反式脂肪酸植物油控制关键技术”，做出创造性贡献。在工业上集成了原料控制、酶法脱胶耦合物理脱酸、适温</w:t>
            </w:r>
            <w:proofErr w:type="gramStart"/>
            <w:r>
              <w:rPr>
                <w:rFonts w:ascii="Times New Roman" w:eastAsia="仿宋_GB2312" w:hAnsi="Times New Roman" w:cs="Times New Roman" w:hint="eastAsia"/>
                <w:bCs/>
                <w:szCs w:val="21"/>
              </w:rPr>
              <w:t>长混轻度</w:t>
            </w:r>
            <w:proofErr w:type="gramEnd"/>
            <w:r>
              <w:rPr>
                <w:rFonts w:ascii="Times New Roman" w:eastAsia="仿宋_GB2312" w:hAnsi="Times New Roman" w:cs="Times New Roman" w:hint="eastAsia"/>
                <w:bCs/>
                <w:szCs w:val="21"/>
              </w:rPr>
              <w:t>碱炼等技术，优化了植物油的</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脂肪酸关键工艺参数和设备改造，实现植物油生产的节能减排。</w:t>
            </w:r>
          </w:p>
        </w:tc>
      </w:tr>
      <w:tr w:rsidR="00DB04BE" w14:paraId="10CC881B" w14:textId="77777777">
        <w:trPr>
          <w:trHeight w:val="690"/>
          <w:jc w:val="center"/>
        </w:trPr>
        <w:tc>
          <w:tcPr>
            <w:tcW w:w="503" w:type="dxa"/>
            <w:vAlign w:val="center"/>
          </w:tcPr>
          <w:p w14:paraId="02FA8F92"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10</w:t>
            </w:r>
          </w:p>
        </w:tc>
        <w:tc>
          <w:tcPr>
            <w:tcW w:w="885" w:type="dxa"/>
            <w:vAlign w:val="center"/>
          </w:tcPr>
          <w:p w14:paraId="61628664"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刘小如</w:t>
            </w:r>
          </w:p>
        </w:tc>
        <w:tc>
          <w:tcPr>
            <w:tcW w:w="885" w:type="dxa"/>
            <w:vAlign w:val="center"/>
          </w:tcPr>
          <w:p w14:paraId="1BCA869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无</w:t>
            </w:r>
          </w:p>
        </w:tc>
        <w:tc>
          <w:tcPr>
            <w:tcW w:w="885" w:type="dxa"/>
            <w:vAlign w:val="center"/>
          </w:tcPr>
          <w:p w14:paraId="43994A28"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研究员</w:t>
            </w:r>
          </w:p>
        </w:tc>
        <w:tc>
          <w:tcPr>
            <w:tcW w:w="1062" w:type="dxa"/>
            <w:vAlign w:val="center"/>
          </w:tcPr>
          <w:p w14:paraId="6ABEC66E"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1059" w:type="dxa"/>
            <w:vAlign w:val="center"/>
          </w:tcPr>
          <w:p w14:paraId="33CF6B5D"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南昌大学</w:t>
            </w:r>
          </w:p>
        </w:tc>
        <w:tc>
          <w:tcPr>
            <w:tcW w:w="3933" w:type="dxa"/>
            <w:vAlign w:val="center"/>
          </w:tcPr>
          <w:p w14:paraId="37569CDC"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“工业源和反刍动物源反式脂肪酸对心血管健康影响及其机制”，做出创造性贡献。在国内开展了大型临床研究，阐明了人体血液红细胞</w:t>
            </w:r>
            <w:proofErr w:type="gramStart"/>
            <w:r>
              <w:rPr>
                <w:rFonts w:ascii="Times New Roman" w:eastAsia="仿宋_GB2312" w:hAnsi="Times New Roman" w:cs="Times New Roman" w:hint="eastAsia"/>
                <w:bCs/>
                <w:szCs w:val="21"/>
              </w:rPr>
              <w:t>膜反式</w:t>
            </w:r>
            <w:proofErr w:type="gramEnd"/>
            <w:r>
              <w:rPr>
                <w:rFonts w:ascii="Times New Roman" w:eastAsia="仿宋_GB2312" w:hAnsi="Times New Roman" w:cs="Times New Roman" w:hint="eastAsia"/>
                <w:bCs/>
                <w:szCs w:val="21"/>
              </w:rPr>
              <w:t>脂肪酸指数与</w:t>
            </w:r>
            <w:r>
              <w:rPr>
                <w:rFonts w:ascii="Times New Roman" w:eastAsia="仿宋_GB2312" w:hAnsi="Times New Roman" w:cs="Times New Roman" w:hint="eastAsia"/>
                <w:bCs/>
                <w:szCs w:val="21"/>
              </w:rPr>
              <w:t>10</w:t>
            </w:r>
            <w:r>
              <w:rPr>
                <w:rFonts w:ascii="Times New Roman" w:eastAsia="仿宋_GB2312" w:hAnsi="Times New Roman" w:cs="Times New Roman" w:hint="eastAsia"/>
                <w:bCs/>
                <w:szCs w:val="21"/>
              </w:rPr>
              <w:t>年心血管疾病风险概率关系。</w:t>
            </w:r>
          </w:p>
        </w:tc>
      </w:tr>
      <w:tr w:rsidR="00DB04BE" w14:paraId="03ED945E" w14:textId="77777777">
        <w:trPr>
          <w:trHeight w:val="690"/>
          <w:jc w:val="center"/>
        </w:trPr>
        <w:tc>
          <w:tcPr>
            <w:tcW w:w="503" w:type="dxa"/>
            <w:vAlign w:val="center"/>
          </w:tcPr>
          <w:p w14:paraId="118E21AB"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11</w:t>
            </w:r>
          </w:p>
        </w:tc>
        <w:tc>
          <w:tcPr>
            <w:tcW w:w="885" w:type="dxa"/>
            <w:vAlign w:val="center"/>
          </w:tcPr>
          <w:p w14:paraId="14AE56E5"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檀朝立</w:t>
            </w:r>
          </w:p>
        </w:tc>
        <w:tc>
          <w:tcPr>
            <w:tcW w:w="885" w:type="dxa"/>
            <w:vAlign w:val="center"/>
          </w:tcPr>
          <w:p w14:paraId="7F48446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副部长</w:t>
            </w:r>
          </w:p>
        </w:tc>
        <w:tc>
          <w:tcPr>
            <w:tcW w:w="885" w:type="dxa"/>
            <w:vAlign w:val="center"/>
          </w:tcPr>
          <w:p w14:paraId="127488D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工程师</w:t>
            </w:r>
          </w:p>
        </w:tc>
        <w:tc>
          <w:tcPr>
            <w:tcW w:w="1062" w:type="dxa"/>
            <w:vAlign w:val="center"/>
          </w:tcPr>
          <w:p w14:paraId="1BB1A7B3"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江西阳光乳业股份有限公司</w:t>
            </w:r>
          </w:p>
        </w:tc>
        <w:tc>
          <w:tcPr>
            <w:tcW w:w="1059" w:type="dxa"/>
            <w:vAlign w:val="center"/>
          </w:tcPr>
          <w:p w14:paraId="097B357A"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江西阳光乳业股份有限公司</w:t>
            </w:r>
          </w:p>
        </w:tc>
        <w:tc>
          <w:tcPr>
            <w:tcW w:w="3933" w:type="dxa"/>
            <w:vAlign w:val="center"/>
          </w:tcPr>
          <w:p w14:paraId="56BF4CAE" w14:textId="77777777" w:rsidR="00DB04BE" w:rsidRDefault="00000000">
            <w:pPr>
              <w:rPr>
                <w:rFonts w:ascii="Times New Roman" w:eastAsia="仿宋_GB2312" w:hAnsi="Times New Roman" w:cs="Times New Roman"/>
                <w:b/>
                <w:bCs/>
                <w:sz w:val="24"/>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“基于反式脂肪酸调控的奶牛养殖关键方案”，做出创造性贡献。研究了不同饲料对于奶牛分泌的牛奶中反式脂肪酸的影响，提出反式脂肪酸调控的奶牛精准饲料配方。</w:t>
            </w:r>
          </w:p>
        </w:tc>
      </w:tr>
      <w:tr w:rsidR="00DB04BE" w14:paraId="0899F755" w14:textId="77777777">
        <w:trPr>
          <w:trHeight w:val="690"/>
          <w:jc w:val="center"/>
        </w:trPr>
        <w:tc>
          <w:tcPr>
            <w:tcW w:w="503" w:type="dxa"/>
            <w:vAlign w:val="center"/>
          </w:tcPr>
          <w:p w14:paraId="4C6195DE"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12</w:t>
            </w:r>
          </w:p>
        </w:tc>
        <w:tc>
          <w:tcPr>
            <w:tcW w:w="885" w:type="dxa"/>
            <w:vAlign w:val="center"/>
          </w:tcPr>
          <w:p w14:paraId="56BF3692"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张虹</w:t>
            </w:r>
          </w:p>
        </w:tc>
        <w:tc>
          <w:tcPr>
            <w:tcW w:w="885" w:type="dxa"/>
            <w:vAlign w:val="center"/>
          </w:tcPr>
          <w:p w14:paraId="009D5F7A"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高级经理</w:t>
            </w:r>
          </w:p>
        </w:tc>
        <w:tc>
          <w:tcPr>
            <w:tcW w:w="885" w:type="dxa"/>
            <w:vAlign w:val="center"/>
          </w:tcPr>
          <w:p w14:paraId="30647608"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教授</w:t>
            </w:r>
          </w:p>
        </w:tc>
        <w:tc>
          <w:tcPr>
            <w:tcW w:w="1062" w:type="dxa"/>
            <w:vAlign w:val="center"/>
          </w:tcPr>
          <w:p w14:paraId="1910D8EB"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丰益（上海）生物技术研发中心有限公司</w:t>
            </w:r>
          </w:p>
        </w:tc>
        <w:tc>
          <w:tcPr>
            <w:tcW w:w="1059" w:type="dxa"/>
            <w:vAlign w:val="center"/>
          </w:tcPr>
          <w:p w14:paraId="365E5D57"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丰益（上海）生物技术研发中心有限公司</w:t>
            </w:r>
          </w:p>
        </w:tc>
        <w:tc>
          <w:tcPr>
            <w:tcW w:w="3933" w:type="dxa"/>
            <w:vAlign w:val="center"/>
          </w:tcPr>
          <w:p w14:paraId="5D2FAA02" w14:textId="77777777" w:rsidR="00DB04BE" w:rsidRDefault="00000000">
            <w:pPr>
              <w:rPr>
                <w:rFonts w:ascii="Times New Roman" w:eastAsia="仿宋_GB2312" w:hAnsi="Times New Roman" w:cs="Times New Roman"/>
                <w:bCs/>
                <w:szCs w:val="21"/>
              </w:rPr>
            </w:pPr>
            <w:r>
              <w:rPr>
                <w:rFonts w:ascii="Times New Roman" w:eastAsia="仿宋_GB2312" w:hAnsi="Times New Roman" w:cs="Times New Roman" w:hint="eastAsia"/>
                <w:bCs/>
                <w:szCs w:val="21"/>
              </w:rPr>
              <w:t>对创新点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“零工业反式脂肪酸植物油控制关键技术”，做出创造性贡献。在工业上创新双塔双温脱臭技术，两步脱色和营养伴随物两级捕集技术，降低了植物油反式脂肪酸含量，提高了营养物质保留率。</w:t>
            </w:r>
          </w:p>
        </w:tc>
      </w:tr>
    </w:tbl>
    <w:p w14:paraId="15B21AE0" w14:textId="77777777" w:rsidR="00DB04BE" w:rsidRDefault="00000000">
      <w:pPr>
        <w:spacing w:line="560" w:lineRule="exact"/>
        <w:rPr>
          <w:rFonts w:ascii="仿宋_GB2312" w:eastAsia="仿宋_GB2312" w:hAnsi="宋体" w:hint="eastAsia"/>
          <w:b/>
          <w:bCs/>
          <w:sz w:val="32"/>
          <w:szCs w:val="32"/>
        </w:rPr>
      </w:pPr>
      <w:r>
        <w:rPr>
          <w:rFonts w:ascii="仿宋_GB2312" w:eastAsia="仿宋_GB2312" w:hAnsi="宋体" w:hint="eastAsia"/>
          <w:b/>
          <w:bCs/>
          <w:sz w:val="32"/>
          <w:szCs w:val="32"/>
        </w:rPr>
        <w:t>七、完成单位</w:t>
      </w:r>
    </w:p>
    <w:p w14:paraId="6CBDB02E" w14:textId="77777777" w:rsidR="00DB04BE" w:rsidRDefault="00000000">
      <w:pPr>
        <w:spacing w:line="560" w:lineRule="exact"/>
        <w:jc w:val="center"/>
        <w:rPr>
          <w:rFonts w:ascii="仿宋_GB2312" w:eastAsia="仿宋_GB2312" w:hAnsi="宋体" w:hint="eastAsia"/>
          <w:b/>
          <w:bCs/>
          <w:sz w:val="24"/>
          <w:szCs w:val="24"/>
        </w:rPr>
      </w:pPr>
      <w:r>
        <w:rPr>
          <w:rFonts w:ascii="Times New Roman" w:eastAsia="黑体" w:hAnsi="Times New Roman" w:cs="Times New Roman" w:hint="eastAsia"/>
          <w:bCs/>
          <w:sz w:val="24"/>
          <w:szCs w:val="24"/>
        </w:rPr>
        <w:t>完成单位情况及贡献</w:t>
      </w:r>
    </w:p>
    <w:tbl>
      <w:tblPr>
        <w:tblW w:w="9204" w:type="dxa"/>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797"/>
        <w:gridCol w:w="2454"/>
        <w:gridCol w:w="5953"/>
      </w:tblGrid>
      <w:tr w:rsidR="00DB04BE" w14:paraId="1463D6BA" w14:textId="77777777">
        <w:trPr>
          <w:trHeight w:val="477"/>
          <w:jc w:val="center"/>
        </w:trPr>
        <w:tc>
          <w:tcPr>
            <w:tcW w:w="797" w:type="dxa"/>
            <w:vAlign w:val="center"/>
          </w:tcPr>
          <w:p w14:paraId="441CC661" w14:textId="77777777" w:rsidR="00DB04BE" w:rsidRDefault="00000000">
            <w:pPr>
              <w:spacing w:line="280" w:lineRule="exact"/>
              <w:jc w:val="center"/>
              <w:rPr>
                <w:rFonts w:ascii="Times New Roman" w:eastAsia="仿宋_GB2312" w:hAnsi="Times New Roman" w:cs="Times New Roman"/>
                <w:bCs/>
                <w:color w:val="000000"/>
                <w:szCs w:val="21"/>
              </w:rPr>
            </w:pPr>
            <w:r>
              <w:rPr>
                <w:rFonts w:ascii="Times New Roman" w:eastAsia="仿宋_GB2312" w:hAnsi="Times New Roman" w:cs="Times New Roman"/>
                <w:bCs/>
                <w:color w:val="000000"/>
                <w:szCs w:val="21"/>
              </w:rPr>
              <w:t>排名</w:t>
            </w:r>
          </w:p>
        </w:tc>
        <w:tc>
          <w:tcPr>
            <w:tcW w:w="2454" w:type="dxa"/>
            <w:vAlign w:val="center"/>
          </w:tcPr>
          <w:p w14:paraId="1EF33FD9" w14:textId="77777777" w:rsidR="00DB04BE"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单位名称</w:t>
            </w:r>
          </w:p>
        </w:tc>
        <w:tc>
          <w:tcPr>
            <w:tcW w:w="5953" w:type="dxa"/>
            <w:vAlign w:val="center"/>
          </w:tcPr>
          <w:p w14:paraId="74E51BAE" w14:textId="77777777" w:rsidR="00DB04BE" w:rsidRDefault="00000000">
            <w:pPr>
              <w:spacing w:line="280" w:lineRule="exact"/>
              <w:jc w:val="center"/>
              <w:rPr>
                <w:rFonts w:ascii="Times New Roman" w:eastAsia="仿宋_GB2312" w:hAnsi="Times New Roman" w:cs="Times New Roman"/>
                <w:bCs/>
                <w:spacing w:val="-20"/>
                <w:szCs w:val="21"/>
              </w:rPr>
            </w:pPr>
            <w:r>
              <w:rPr>
                <w:rFonts w:ascii="Times New Roman" w:eastAsia="仿宋_GB2312" w:hAnsi="Times New Roman" w:cs="Times New Roman"/>
                <w:bCs/>
                <w:spacing w:val="-20"/>
                <w:szCs w:val="21"/>
              </w:rPr>
              <w:t>对本项目的贡献</w:t>
            </w:r>
          </w:p>
        </w:tc>
      </w:tr>
      <w:tr w:rsidR="00DB04BE" w14:paraId="7F0755D4" w14:textId="77777777">
        <w:trPr>
          <w:trHeight w:val="45"/>
          <w:jc w:val="center"/>
        </w:trPr>
        <w:tc>
          <w:tcPr>
            <w:tcW w:w="797" w:type="dxa"/>
            <w:vAlign w:val="center"/>
          </w:tcPr>
          <w:p w14:paraId="5531626E"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1</w:t>
            </w:r>
          </w:p>
        </w:tc>
        <w:tc>
          <w:tcPr>
            <w:tcW w:w="2454" w:type="dxa"/>
            <w:vAlign w:val="center"/>
          </w:tcPr>
          <w:p w14:paraId="6299ED07"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bCs/>
                <w:szCs w:val="21"/>
              </w:rPr>
              <w:t>南昌大学</w:t>
            </w:r>
          </w:p>
        </w:tc>
        <w:tc>
          <w:tcPr>
            <w:tcW w:w="5953" w:type="dxa"/>
          </w:tcPr>
          <w:p w14:paraId="462701EE"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bCs/>
                <w:szCs w:val="21"/>
              </w:rPr>
              <w:t>作为项目第一完成单位，</w:t>
            </w:r>
            <w:r>
              <w:rPr>
                <w:rFonts w:ascii="Times New Roman" w:eastAsia="仿宋_GB2312" w:hAnsi="Times New Roman" w:cs="Times New Roman" w:hint="eastAsia"/>
                <w:bCs/>
                <w:szCs w:val="21"/>
              </w:rPr>
              <w:t>主持了项目研究工作；负责制定项目整体设计思路、技术路线、研究计划；完成了创新点</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和</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w:t>
            </w:r>
          </w:p>
          <w:p w14:paraId="6181DFE0" w14:textId="77777777" w:rsidR="00DB04BE" w:rsidRDefault="00000000">
            <w:pPr>
              <w:numPr>
                <w:ilvl w:val="0"/>
                <w:numId w:val="1"/>
              </w:num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中国居民反式脂肪酸风险评估；</w:t>
            </w:r>
          </w:p>
          <w:p w14:paraId="4E767B1A" w14:textId="77777777" w:rsidR="00DB04BE" w:rsidRDefault="00000000">
            <w:pPr>
              <w:numPr>
                <w:ilvl w:val="0"/>
                <w:numId w:val="1"/>
              </w:num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阐明了不同来源反式脂肪酸与健康的关系与机制，创制了饲料精准调控反刍动物制品中反式脂肪酸含量的关键技术；</w:t>
            </w:r>
          </w:p>
          <w:p w14:paraId="325D6F69" w14:textId="77777777" w:rsidR="00DB04BE" w:rsidRDefault="00000000">
            <w:pPr>
              <w:numPr>
                <w:ilvl w:val="0"/>
                <w:numId w:val="1"/>
              </w:num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创制了</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脂肪酸植物油的关键控制技术。</w:t>
            </w:r>
          </w:p>
          <w:p w14:paraId="4587D640"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、发表论文</w:t>
            </w:r>
            <w:r>
              <w:rPr>
                <w:rFonts w:ascii="Times New Roman" w:eastAsia="仿宋_GB2312" w:hAnsi="Times New Roman" w:cs="Times New Roman" w:hint="eastAsia"/>
                <w:bCs/>
                <w:szCs w:val="21"/>
              </w:rPr>
              <w:t>43</w:t>
            </w:r>
            <w:r>
              <w:rPr>
                <w:rFonts w:ascii="Times New Roman" w:eastAsia="仿宋_GB2312" w:hAnsi="Times New Roman" w:cs="Times New Roman" w:hint="eastAsia"/>
                <w:bCs/>
                <w:szCs w:val="21"/>
              </w:rPr>
              <w:t>篇，授权专利</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项；</w:t>
            </w:r>
          </w:p>
          <w:p w14:paraId="07333D8E"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、将项目研究成果推广应用于嘉里粮油有限公司、江西青龙高科油脂有限公司、江西阳光乳业股份有限公司，产生较好的经济效益；</w:t>
            </w:r>
          </w:p>
          <w:p w14:paraId="53CD1E11"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6</w:t>
            </w:r>
            <w:r>
              <w:rPr>
                <w:rFonts w:ascii="Times New Roman" w:eastAsia="仿宋_GB2312" w:hAnsi="Times New Roman" w:cs="Times New Roman" w:hint="eastAsia"/>
                <w:bCs/>
                <w:szCs w:val="21"/>
              </w:rPr>
              <w:t>、为政府反式脂肪酸的政策制定提供了科学数据，降低了反式脂肪酸对中国居民的风险性，产生较好的社会效益。</w:t>
            </w:r>
          </w:p>
        </w:tc>
      </w:tr>
      <w:tr w:rsidR="00DB04BE" w14:paraId="170E64D2" w14:textId="77777777">
        <w:trPr>
          <w:trHeight w:val="45"/>
          <w:jc w:val="center"/>
        </w:trPr>
        <w:tc>
          <w:tcPr>
            <w:tcW w:w="797" w:type="dxa"/>
            <w:vAlign w:val="center"/>
          </w:tcPr>
          <w:p w14:paraId="5774962F"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2</w:t>
            </w:r>
          </w:p>
        </w:tc>
        <w:tc>
          <w:tcPr>
            <w:tcW w:w="2454" w:type="dxa"/>
            <w:vAlign w:val="center"/>
          </w:tcPr>
          <w:p w14:paraId="2EB25FC5"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丰益（上海）生物技术研发中心有限公司</w:t>
            </w:r>
          </w:p>
        </w:tc>
        <w:tc>
          <w:tcPr>
            <w:tcW w:w="5953" w:type="dxa"/>
            <w:vAlign w:val="center"/>
          </w:tcPr>
          <w:p w14:paraId="0C10C21D"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丰益（上海）生物技术研发中心有限公司完成了创新点</w:t>
            </w:r>
            <w:r>
              <w:rPr>
                <w:rFonts w:ascii="Times New Roman" w:eastAsia="仿宋_GB2312" w:hAnsi="Times New Roman" w:cs="Times New Roman" w:hint="eastAsia"/>
                <w:bCs/>
                <w:szCs w:val="21"/>
              </w:rPr>
              <w:t>3</w:t>
            </w:r>
            <w:proofErr w:type="gramStart"/>
            <w:r>
              <w:rPr>
                <w:rFonts w:ascii="Times New Roman" w:eastAsia="仿宋_GB2312" w:hAnsi="Times New Roman" w:cs="Times New Roman" w:hint="eastAsia"/>
                <w:bCs/>
                <w:szCs w:val="21"/>
              </w:rPr>
              <w:t>零</w:t>
            </w:r>
            <w:proofErr w:type="gramEnd"/>
            <w:r>
              <w:rPr>
                <w:rFonts w:ascii="Times New Roman" w:eastAsia="仿宋_GB2312" w:hAnsi="Times New Roman" w:cs="Times New Roman" w:hint="eastAsia"/>
                <w:bCs/>
                <w:szCs w:val="21"/>
              </w:rPr>
              <w:t>反式脂肪酸控制关键技术的开发，对项目的完成提供了科研经费、工业化推广应用基地。</w:t>
            </w:r>
          </w:p>
          <w:p w14:paraId="79F39930"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lastRenderedPageBreak/>
              <w:t>1</w:t>
            </w:r>
            <w:r>
              <w:rPr>
                <w:rFonts w:ascii="Times New Roman" w:eastAsia="仿宋_GB2312" w:hAnsi="Times New Roman" w:cs="Times New Roman" w:hint="eastAsia"/>
                <w:bCs/>
                <w:szCs w:val="21"/>
              </w:rPr>
              <w:t>、参与了项目研究工作；</w:t>
            </w:r>
          </w:p>
          <w:p w14:paraId="1148D1A8"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、参与制定项目整体设计思路、技术路线、研究计划；</w:t>
            </w:r>
          </w:p>
          <w:p w14:paraId="319FE064"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、参与编写了研究报告；</w:t>
            </w:r>
          </w:p>
          <w:p w14:paraId="5D70254F"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、参与了科技创新内容</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：创制了</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脂肪酸植物油的关键控制技术。</w:t>
            </w:r>
          </w:p>
          <w:p w14:paraId="32541E64"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、授权专利</w:t>
            </w: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项；</w:t>
            </w:r>
          </w:p>
          <w:p w14:paraId="601EC23C"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6</w:t>
            </w:r>
            <w:r>
              <w:rPr>
                <w:rFonts w:ascii="Times New Roman" w:eastAsia="仿宋_GB2312" w:hAnsi="Times New Roman" w:cs="Times New Roman" w:hint="eastAsia"/>
                <w:bCs/>
                <w:szCs w:val="21"/>
              </w:rPr>
              <w:t>、将项目研究成果推广应用于嘉里粮油有限公司各分公司，为消费者提供高品质食用油，产生较好的经济效益和社会效益。</w:t>
            </w:r>
          </w:p>
        </w:tc>
      </w:tr>
      <w:tr w:rsidR="00DB04BE" w14:paraId="0BB43B5C" w14:textId="77777777">
        <w:trPr>
          <w:trHeight w:val="1591"/>
          <w:jc w:val="center"/>
        </w:trPr>
        <w:tc>
          <w:tcPr>
            <w:tcW w:w="797" w:type="dxa"/>
            <w:vAlign w:val="center"/>
          </w:tcPr>
          <w:p w14:paraId="1E3E8AC8"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lastRenderedPageBreak/>
              <w:t>3</w:t>
            </w:r>
          </w:p>
        </w:tc>
        <w:tc>
          <w:tcPr>
            <w:tcW w:w="2454" w:type="dxa"/>
            <w:vAlign w:val="center"/>
          </w:tcPr>
          <w:p w14:paraId="605EE0DD"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山东省农业科学院</w:t>
            </w:r>
          </w:p>
        </w:tc>
        <w:tc>
          <w:tcPr>
            <w:tcW w:w="5953" w:type="dxa"/>
            <w:vAlign w:val="center"/>
          </w:tcPr>
          <w:p w14:paraId="32E55FB1"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山东省农业科学</w:t>
            </w:r>
            <w:proofErr w:type="gramStart"/>
            <w:r>
              <w:rPr>
                <w:rFonts w:ascii="Times New Roman" w:eastAsia="仿宋_GB2312" w:hAnsi="Times New Roman" w:cs="Times New Roman" w:hint="eastAsia"/>
                <w:bCs/>
                <w:szCs w:val="21"/>
              </w:rPr>
              <w:t>院参与</w:t>
            </w:r>
            <w:proofErr w:type="gramEnd"/>
            <w:r>
              <w:rPr>
                <w:rFonts w:ascii="Times New Roman" w:eastAsia="仿宋_GB2312" w:hAnsi="Times New Roman" w:cs="Times New Roman" w:hint="eastAsia"/>
                <w:bCs/>
                <w:szCs w:val="21"/>
              </w:rPr>
              <w:t>了本项目反式脂肪酸对心血管健康的影响与机制研究。</w:t>
            </w:r>
          </w:p>
          <w:p w14:paraId="2494E83D"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、参与了项目研究工作；</w:t>
            </w:r>
          </w:p>
          <w:p w14:paraId="7F9E24F4"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、参与制定项目整体设计思路、技术路线、研究计划；</w:t>
            </w:r>
          </w:p>
          <w:p w14:paraId="70FC98B4"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、参与编写了研究报告；</w:t>
            </w:r>
          </w:p>
          <w:p w14:paraId="257B192B"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、参与了科技创新内容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：阐明反式脂肪酸对心血管健康影响与机制；</w:t>
            </w:r>
          </w:p>
          <w:p w14:paraId="7E81501F"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5</w:t>
            </w:r>
            <w:r>
              <w:rPr>
                <w:rFonts w:ascii="Times New Roman" w:eastAsia="仿宋_GB2312" w:hAnsi="Times New Roman" w:cs="Times New Roman" w:hint="eastAsia"/>
                <w:bCs/>
                <w:szCs w:val="21"/>
              </w:rPr>
              <w:t>、完成</w:t>
            </w: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项国家自然基金，发表论文</w:t>
            </w:r>
            <w:r>
              <w:rPr>
                <w:rFonts w:ascii="Times New Roman" w:eastAsia="仿宋_GB2312" w:hAnsi="Times New Roman" w:cs="Times New Roman" w:hint="eastAsia"/>
                <w:bCs/>
                <w:szCs w:val="21"/>
              </w:rPr>
              <w:t>10</w:t>
            </w:r>
            <w:r>
              <w:rPr>
                <w:rFonts w:ascii="Times New Roman" w:eastAsia="仿宋_GB2312" w:hAnsi="Times New Roman" w:cs="Times New Roman" w:hint="eastAsia"/>
                <w:bCs/>
                <w:szCs w:val="21"/>
              </w:rPr>
              <w:t>篇。</w:t>
            </w:r>
          </w:p>
          <w:p w14:paraId="41EBBCBB" w14:textId="77777777" w:rsidR="00DB04BE" w:rsidRDefault="00000000">
            <w:pPr>
              <w:jc w:val="left"/>
              <w:rPr>
                <w:rFonts w:ascii="Times New Roman" w:eastAsia="仿宋_GB2312" w:hAnsi="Times New Roman" w:cs="Times New Roman"/>
                <w:bCs/>
                <w:szCs w:val="21"/>
              </w:rPr>
            </w:pPr>
            <w:r>
              <w:rPr>
                <w:rFonts w:ascii="Times New Roman" w:eastAsia="仿宋_GB2312" w:hAnsi="Times New Roman" w:cs="Times New Roman" w:hint="eastAsia"/>
                <w:bCs/>
                <w:szCs w:val="21"/>
              </w:rPr>
              <w:t>6</w:t>
            </w:r>
            <w:r>
              <w:rPr>
                <w:rFonts w:ascii="Times New Roman" w:eastAsia="仿宋_GB2312" w:hAnsi="Times New Roman" w:cs="Times New Roman" w:hint="eastAsia"/>
                <w:bCs/>
                <w:szCs w:val="21"/>
              </w:rPr>
              <w:t>、协助将成果推广应用，使政府和中国居民对反式脂肪酸有了科学的认识，取得较好的社会效益。</w:t>
            </w:r>
          </w:p>
        </w:tc>
      </w:tr>
      <w:tr w:rsidR="00DB04BE" w14:paraId="2926E5AE" w14:textId="77777777">
        <w:trPr>
          <w:trHeight w:val="1591"/>
          <w:jc w:val="center"/>
        </w:trPr>
        <w:tc>
          <w:tcPr>
            <w:tcW w:w="797" w:type="dxa"/>
            <w:vAlign w:val="center"/>
          </w:tcPr>
          <w:p w14:paraId="1C5601B4"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4</w:t>
            </w:r>
          </w:p>
        </w:tc>
        <w:tc>
          <w:tcPr>
            <w:tcW w:w="2454" w:type="dxa"/>
            <w:vAlign w:val="center"/>
          </w:tcPr>
          <w:p w14:paraId="2A8C2298"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江西青龙高科油脂有限公司</w:t>
            </w:r>
          </w:p>
        </w:tc>
        <w:tc>
          <w:tcPr>
            <w:tcW w:w="5953" w:type="dxa"/>
            <w:vAlign w:val="center"/>
          </w:tcPr>
          <w:p w14:paraId="5D17F0A4"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江西青龙高科油脂有限公司参与了本项目</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脂肪酸控制关键技术的开发，对项目的完成提供了工业化推广应用基地。</w:t>
            </w:r>
          </w:p>
          <w:p w14:paraId="7A77B218"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、参与了项目研究工作；</w:t>
            </w:r>
          </w:p>
          <w:p w14:paraId="5CF83FD9"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、参与制定项目整体设计思路、技术路线、研究计划；</w:t>
            </w:r>
          </w:p>
          <w:p w14:paraId="3AB64EDC"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、参与了科技创新内容</w:t>
            </w: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：创制了</w:t>
            </w:r>
            <w:proofErr w:type="gramStart"/>
            <w:r>
              <w:rPr>
                <w:rFonts w:ascii="Times New Roman" w:eastAsia="仿宋_GB2312" w:hAnsi="Times New Roman" w:cs="Times New Roman" w:hint="eastAsia"/>
                <w:bCs/>
                <w:szCs w:val="21"/>
              </w:rPr>
              <w:t>零反式</w:t>
            </w:r>
            <w:proofErr w:type="gramEnd"/>
            <w:r>
              <w:rPr>
                <w:rFonts w:ascii="Times New Roman" w:eastAsia="仿宋_GB2312" w:hAnsi="Times New Roman" w:cs="Times New Roman" w:hint="eastAsia"/>
                <w:bCs/>
                <w:szCs w:val="21"/>
              </w:rPr>
              <w:t>脂肪酸植物油的关键控制技术。</w:t>
            </w:r>
          </w:p>
          <w:p w14:paraId="7EFC1E64"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、将项目研究成果推广应用于江西青龙高科油脂有限公司，为消费者提供高品质食用油，产生较好的经济效益。</w:t>
            </w:r>
          </w:p>
        </w:tc>
      </w:tr>
      <w:tr w:rsidR="00DB04BE" w14:paraId="22375C64" w14:textId="77777777">
        <w:trPr>
          <w:trHeight w:val="1591"/>
          <w:jc w:val="center"/>
        </w:trPr>
        <w:tc>
          <w:tcPr>
            <w:tcW w:w="797" w:type="dxa"/>
            <w:vAlign w:val="center"/>
          </w:tcPr>
          <w:p w14:paraId="544607B8" w14:textId="77777777" w:rsidR="00DB04BE" w:rsidRDefault="00000000">
            <w:pPr>
              <w:spacing w:line="280" w:lineRule="exact"/>
              <w:jc w:val="center"/>
              <w:rPr>
                <w:rFonts w:ascii="Times New Roman" w:eastAsia="仿宋_GB2312" w:hAnsi="Times New Roman" w:cs="Times New Roman"/>
                <w:spacing w:val="-20"/>
                <w:szCs w:val="21"/>
              </w:rPr>
            </w:pPr>
            <w:r>
              <w:rPr>
                <w:rFonts w:ascii="Times New Roman" w:eastAsia="仿宋_GB2312" w:hAnsi="Times New Roman" w:cs="Times New Roman"/>
                <w:spacing w:val="-20"/>
                <w:szCs w:val="21"/>
              </w:rPr>
              <w:t>5</w:t>
            </w:r>
          </w:p>
        </w:tc>
        <w:tc>
          <w:tcPr>
            <w:tcW w:w="2454" w:type="dxa"/>
            <w:vAlign w:val="center"/>
          </w:tcPr>
          <w:p w14:paraId="1DA310F0" w14:textId="77777777" w:rsidR="00DB04BE" w:rsidRDefault="00000000">
            <w:pPr>
              <w:jc w:val="center"/>
              <w:rPr>
                <w:rFonts w:ascii="Times New Roman" w:eastAsia="仿宋_GB2312" w:hAnsi="Times New Roman" w:cs="Times New Roman"/>
                <w:bCs/>
                <w:szCs w:val="21"/>
              </w:rPr>
            </w:pPr>
            <w:r>
              <w:rPr>
                <w:rFonts w:ascii="Times New Roman" w:eastAsia="仿宋_GB2312" w:hAnsi="Times New Roman" w:cs="Times New Roman" w:hint="eastAsia"/>
                <w:bCs/>
                <w:szCs w:val="21"/>
              </w:rPr>
              <w:t>江西阳光乳业股份有限公司</w:t>
            </w:r>
          </w:p>
        </w:tc>
        <w:tc>
          <w:tcPr>
            <w:tcW w:w="5953" w:type="dxa"/>
            <w:vAlign w:val="center"/>
          </w:tcPr>
          <w:p w14:paraId="13CD7AAB"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江西阳光乳业股份有限公司参与了本项目基于反式脂肪酸调控的奶牛养殖关键方案的研究，对项目的完成提供了推广应用基地。</w:t>
            </w:r>
          </w:p>
          <w:p w14:paraId="4CE79D6E"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1</w:t>
            </w:r>
            <w:r>
              <w:rPr>
                <w:rFonts w:ascii="Times New Roman" w:eastAsia="仿宋_GB2312" w:hAnsi="Times New Roman" w:cs="Times New Roman" w:hint="eastAsia"/>
                <w:bCs/>
                <w:szCs w:val="21"/>
              </w:rPr>
              <w:t>、参与了项目研究工作；</w:t>
            </w:r>
          </w:p>
          <w:p w14:paraId="6C8F5E59"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、参与制定项目整体设计思路、技术路线、研究计划；</w:t>
            </w:r>
          </w:p>
          <w:p w14:paraId="532370EB"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3</w:t>
            </w:r>
            <w:r>
              <w:rPr>
                <w:rFonts w:ascii="Times New Roman" w:eastAsia="仿宋_GB2312" w:hAnsi="Times New Roman" w:cs="Times New Roman" w:hint="eastAsia"/>
                <w:bCs/>
                <w:szCs w:val="21"/>
              </w:rPr>
              <w:t>、参与了科技创新内容</w:t>
            </w:r>
            <w:r>
              <w:rPr>
                <w:rFonts w:ascii="Times New Roman" w:eastAsia="仿宋_GB2312" w:hAnsi="Times New Roman" w:cs="Times New Roman" w:hint="eastAsia"/>
                <w:bCs/>
                <w:szCs w:val="21"/>
              </w:rPr>
              <w:t>2</w:t>
            </w:r>
            <w:r>
              <w:rPr>
                <w:rFonts w:ascii="Times New Roman" w:eastAsia="仿宋_GB2312" w:hAnsi="Times New Roman" w:cs="Times New Roman" w:hint="eastAsia"/>
                <w:bCs/>
                <w:szCs w:val="21"/>
              </w:rPr>
              <w:t>：基于反式脂肪酸调控的奶牛养殖关键方案；</w:t>
            </w:r>
          </w:p>
          <w:p w14:paraId="11AFD97D" w14:textId="77777777" w:rsidR="00DB04BE" w:rsidRDefault="00000000">
            <w:pPr>
              <w:overflowPunct w:val="0"/>
              <w:rPr>
                <w:rFonts w:ascii="Times New Roman" w:eastAsia="仿宋_GB2312" w:hAnsi="Times New Roman" w:cs="Times New Roman"/>
                <w:bCs/>
                <w:szCs w:val="21"/>
              </w:rPr>
            </w:pPr>
            <w:r>
              <w:rPr>
                <w:rFonts w:ascii="Times New Roman" w:eastAsia="仿宋_GB2312" w:hAnsi="Times New Roman" w:cs="Times New Roman" w:hint="eastAsia"/>
                <w:bCs/>
                <w:szCs w:val="21"/>
              </w:rPr>
              <w:t>4</w:t>
            </w:r>
            <w:r>
              <w:rPr>
                <w:rFonts w:ascii="Times New Roman" w:eastAsia="仿宋_GB2312" w:hAnsi="Times New Roman" w:cs="Times New Roman" w:hint="eastAsia"/>
                <w:bCs/>
                <w:szCs w:val="21"/>
              </w:rPr>
              <w:t>、将项目研究成果推广应用于江西阳光乳业股份有限公司牧场基地，提高了乳制品的品质，产生了较好的经济效益。</w:t>
            </w:r>
          </w:p>
        </w:tc>
      </w:tr>
    </w:tbl>
    <w:p w14:paraId="40E022D9" w14:textId="77777777" w:rsidR="00DB04BE" w:rsidRDefault="00DB04BE">
      <w:pPr>
        <w:spacing w:line="560" w:lineRule="exact"/>
        <w:rPr>
          <w:rFonts w:ascii="仿宋_GB2312" w:eastAsia="仿宋_GB2312" w:hAnsi="宋体" w:hint="eastAsia"/>
          <w:sz w:val="32"/>
          <w:szCs w:val="32"/>
        </w:rPr>
      </w:pPr>
    </w:p>
    <w:p w14:paraId="71A5B359" w14:textId="77777777" w:rsidR="00DB04BE" w:rsidRDefault="00DB04BE">
      <w:pPr>
        <w:spacing w:line="560" w:lineRule="exact"/>
        <w:ind w:firstLineChars="200" w:firstLine="560"/>
        <w:rPr>
          <w:rFonts w:ascii="仿宋_GB2312" w:eastAsia="仿宋_GB2312" w:hAnsi="宋体" w:hint="eastAsia"/>
          <w:sz w:val="28"/>
          <w:szCs w:val="28"/>
        </w:rPr>
      </w:pPr>
    </w:p>
    <w:sectPr w:rsidR="00DB04BE">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C82216" w14:textId="77777777" w:rsidR="008D05B3" w:rsidRDefault="008D05B3">
      <w:pPr>
        <w:rPr>
          <w:rFonts w:hint="eastAsia"/>
        </w:rPr>
      </w:pPr>
      <w:r>
        <w:separator/>
      </w:r>
    </w:p>
  </w:endnote>
  <w:endnote w:type="continuationSeparator" w:id="0">
    <w:p w14:paraId="1E690FB4" w14:textId="77777777" w:rsidR="008D05B3" w:rsidRDefault="008D05B3">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_GB2312">
    <w:altName w:val="方正仿宋_GBK"/>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Times New Roman Regular">
    <w:altName w:val="Times New Roman"/>
    <w:charset w:val="00"/>
    <w:family w:val="auto"/>
    <w:pitch w:val="default"/>
    <w:sig w:usb0="E0002AEF" w:usb1="C0007841"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36168542"/>
    </w:sdtPr>
    <w:sdtEndPr>
      <w:rPr>
        <w:rFonts w:ascii="Times New Roman" w:hAnsi="Times New Roman" w:cs="Times New Roman"/>
      </w:rPr>
    </w:sdtEndPr>
    <w:sdtContent>
      <w:p w14:paraId="614AF0D2" w14:textId="77777777" w:rsidR="00DB04BE" w:rsidRDefault="00000000">
        <w:pPr>
          <w:pStyle w:val="a5"/>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2</w:t>
        </w:r>
        <w:r>
          <w:rPr>
            <w:rFonts w:ascii="Times New Roman" w:hAnsi="Times New Roman" w:cs="Times New Roman"/>
          </w:rPr>
          <w:fldChar w:fldCharType="end"/>
        </w:r>
      </w:p>
    </w:sdtContent>
  </w:sdt>
  <w:p w14:paraId="130599E2" w14:textId="77777777" w:rsidR="00DB04BE" w:rsidRDefault="00DB04BE">
    <w:pPr>
      <w:pStyle w:val="a5"/>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573319" w14:textId="77777777" w:rsidR="008D05B3" w:rsidRDefault="008D05B3">
      <w:pPr>
        <w:rPr>
          <w:rFonts w:hint="eastAsia"/>
        </w:rPr>
      </w:pPr>
      <w:r>
        <w:separator/>
      </w:r>
    </w:p>
  </w:footnote>
  <w:footnote w:type="continuationSeparator" w:id="0">
    <w:p w14:paraId="67641839" w14:textId="77777777" w:rsidR="008D05B3" w:rsidRDefault="008D05B3">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BA2A25"/>
    <w:multiLevelType w:val="singleLevel"/>
    <w:tmpl w:val="7EBA2A25"/>
    <w:lvl w:ilvl="0">
      <w:start w:val="1"/>
      <w:numFmt w:val="decimal"/>
      <w:suff w:val="nothing"/>
      <w:lvlText w:val="%1、"/>
      <w:lvlJc w:val="left"/>
    </w:lvl>
  </w:abstractNum>
  <w:num w:numId="1" w16cid:durableId="3322996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92D"/>
    <w:rsid w:val="8FAC3A45"/>
    <w:rsid w:val="BCCFC47F"/>
    <w:rsid w:val="BFFFD74F"/>
    <w:rsid w:val="CB3F1AB9"/>
    <w:rsid w:val="DDB9999E"/>
    <w:rsid w:val="DEFF45FC"/>
    <w:rsid w:val="DFF79E5F"/>
    <w:rsid w:val="F5F6E474"/>
    <w:rsid w:val="F6EF5D13"/>
    <w:rsid w:val="F7C9804A"/>
    <w:rsid w:val="F9EE763E"/>
    <w:rsid w:val="F9FA20E1"/>
    <w:rsid w:val="FA7FE427"/>
    <w:rsid w:val="FDDE523C"/>
    <w:rsid w:val="FFC3D77D"/>
    <w:rsid w:val="00194E22"/>
    <w:rsid w:val="002763E6"/>
    <w:rsid w:val="002F0F5D"/>
    <w:rsid w:val="004532AC"/>
    <w:rsid w:val="004F096D"/>
    <w:rsid w:val="00522627"/>
    <w:rsid w:val="00577CF9"/>
    <w:rsid w:val="005B724F"/>
    <w:rsid w:val="0063481B"/>
    <w:rsid w:val="006515EA"/>
    <w:rsid w:val="006A2F7D"/>
    <w:rsid w:val="007609CD"/>
    <w:rsid w:val="007B4AAF"/>
    <w:rsid w:val="00874336"/>
    <w:rsid w:val="0087531C"/>
    <w:rsid w:val="008A432E"/>
    <w:rsid w:val="008D05B3"/>
    <w:rsid w:val="00927936"/>
    <w:rsid w:val="00980387"/>
    <w:rsid w:val="00A2254C"/>
    <w:rsid w:val="00B131C6"/>
    <w:rsid w:val="00C83D71"/>
    <w:rsid w:val="00CE5ADA"/>
    <w:rsid w:val="00DB04BE"/>
    <w:rsid w:val="00DD6C3E"/>
    <w:rsid w:val="00E05CC3"/>
    <w:rsid w:val="00E6492D"/>
    <w:rsid w:val="00EE73BD"/>
    <w:rsid w:val="00EE79B5"/>
    <w:rsid w:val="00F87858"/>
    <w:rsid w:val="0FE0758F"/>
    <w:rsid w:val="1FB8A0CD"/>
    <w:rsid w:val="2DF71674"/>
    <w:rsid w:val="2E943BD6"/>
    <w:rsid w:val="3FFD8A98"/>
    <w:rsid w:val="463F7336"/>
    <w:rsid w:val="4B887D52"/>
    <w:rsid w:val="52E56052"/>
    <w:rsid w:val="576A47B0"/>
    <w:rsid w:val="5FEE2BFD"/>
    <w:rsid w:val="6D3F58AF"/>
    <w:rsid w:val="703FC471"/>
    <w:rsid w:val="7521319D"/>
    <w:rsid w:val="77DD749B"/>
    <w:rsid w:val="77EFFE5E"/>
    <w:rsid w:val="797C6BFA"/>
    <w:rsid w:val="7DDDCE04"/>
    <w:rsid w:val="7DDFEFE7"/>
    <w:rsid w:val="7EDF3C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9829D"/>
  <w15:docId w15:val="{2734F381-1E7E-42E0-9E6A-243829F2E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pPr>
      <w:jc w:val="left"/>
    </w:pPr>
  </w:style>
  <w:style w:type="paragraph" w:styleId="a4">
    <w:name w:val="Plain Text"/>
    <w:basedOn w:val="a"/>
    <w:uiPriority w:val="99"/>
    <w:qFormat/>
    <w:pPr>
      <w:spacing w:line="360" w:lineRule="auto"/>
      <w:ind w:firstLineChars="200" w:firstLine="480"/>
    </w:pPr>
    <w:rPr>
      <w:rFonts w:ascii="仿宋_GB2312" w:eastAsia="宋体" w:hAnsi="Calibri" w:cs="Times New Roman"/>
      <w:sz w:val="24"/>
      <w:szCs w:val="2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tabs>
        <w:tab w:val="center" w:pos="4153"/>
        <w:tab w:val="right" w:pos="8306"/>
      </w:tabs>
      <w:snapToGrid w:val="0"/>
      <w:jc w:val="center"/>
    </w:pPr>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paragraph" w:styleId="a9">
    <w:name w:val="List Paragraph"/>
    <w:uiPriority w:val="99"/>
    <w:qFormat/>
    <w:pPr>
      <w:widowControl w:val="0"/>
      <w:ind w:firstLineChars="200" w:firstLine="420"/>
      <w:jc w:val="both"/>
    </w:pPr>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1072</Words>
  <Characters>6112</Characters>
  <Application>Microsoft Office Word</Application>
  <DocSecurity>0</DocSecurity>
  <Lines>50</Lines>
  <Paragraphs>14</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yu mao</cp:lastModifiedBy>
  <cp:revision>5</cp:revision>
  <dcterms:created xsi:type="dcterms:W3CDTF">2024-12-04T00:02:00Z</dcterms:created>
  <dcterms:modified xsi:type="dcterms:W3CDTF">2024-12-13T08:58:00Z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56A5650FC6D4C4F0FFB94967AEC95652_42</vt:lpwstr>
  </property>
</Properties>
</file>