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CA84CF">
      <w:pPr>
        <w:spacing w:line="360" w:lineRule="auto"/>
        <w:ind w:left="1445" w:hanging="1445" w:hangingChars="514"/>
        <w:rPr>
          <w:rFonts w:hint="eastAsia" w:ascii="仿宋_GB2312" w:hAnsi="Times New Roman" w:eastAsia="仿宋_GB2312" w:cs="Times New Roman"/>
          <w:sz w:val="28"/>
          <w:szCs w:val="28"/>
        </w:rPr>
      </w:pPr>
      <w:bookmarkStart w:id="1" w:name="_GoBack"/>
      <w:bookmarkEnd w:id="1"/>
      <w:r>
        <w:rPr>
          <w:rFonts w:hint="eastAsia" w:ascii="仿宋_GB2312" w:hAnsi="Times New Roman" w:eastAsia="仿宋_GB2312" w:cs="Times New Roman"/>
          <w:b/>
          <w:bCs/>
          <w:sz w:val="28"/>
          <w:szCs w:val="28"/>
        </w:rPr>
        <w:t>项目名称：</w:t>
      </w:r>
      <w:r>
        <w:rPr>
          <w:rFonts w:hint="eastAsia" w:ascii="仿宋_GB2312" w:hAnsi="Times New Roman" w:eastAsia="仿宋_GB2312" w:cs="Times New Roman"/>
          <w:bCs/>
          <w:kern w:val="0"/>
          <w:sz w:val="28"/>
          <w:szCs w:val="28"/>
        </w:rPr>
        <w:t>亚热带人工针叶林地力-结构-功能协同培育技术及应用</w:t>
      </w:r>
    </w:p>
    <w:p w14:paraId="74CF97FA">
      <w:pPr>
        <w:spacing w:line="360" w:lineRule="auto"/>
        <w:rPr>
          <w:rFonts w:hint="eastAsia" w:ascii="仿宋_GB2312" w:hAnsi="Times New Roman" w:eastAsia="仿宋_GB2312" w:cs="Times New Roman"/>
          <w:sz w:val="28"/>
          <w:szCs w:val="28"/>
        </w:rPr>
      </w:pPr>
      <w:r>
        <w:rPr>
          <w:rFonts w:hint="eastAsia" w:ascii="仿宋_GB2312" w:hAnsi="Times New Roman" w:eastAsia="仿宋_GB2312" w:cs="Times New Roman"/>
          <w:b/>
          <w:bCs/>
          <w:sz w:val="28"/>
          <w:szCs w:val="28"/>
        </w:rPr>
        <w:t>提名者：</w:t>
      </w:r>
      <w:r>
        <w:rPr>
          <w:rFonts w:hint="eastAsia" w:ascii="仿宋_GB2312" w:hAnsi="Times New Roman" w:eastAsia="仿宋_GB2312" w:cs="Times New Roman"/>
          <w:sz w:val="28"/>
          <w:szCs w:val="28"/>
        </w:rPr>
        <w:t>江西省教育厅</w:t>
      </w:r>
    </w:p>
    <w:p w14:paraId="4E32CD1B">
      <w:pPr>
        <w:autoSpaceDE w:val="0"/>
        <w:autoSpaceDN w:val="0"/>
        <w:adjustRightInd w:val="0"/>
        <w:spacing w:line="360" w:lineRule="auto"/>
        <w:rPr>
          <w:rFonts w:hint="eastAsia" w:ascii="仿宋_GB2312" w:hAnsi="Times New Roman" w:eastAsia="仿宋_GB2312" w:cs="Times New Roman"/>
          <w:b/>
          <w:bCs/>
          <w:sz w:val="28"/>
          <w:szCs w:val="28"/>
        </w:rPr>
      </w:pPr>
      <w:r>
        <w:rPr>
          <w:rFonts w:hint="eastAsia" w:ascii="仿宋_GB2312" w:hAnsi="Times New Roman" w:eastAsia="仿宋_GB2312" w:cs="Times New Roman"/>
          <w:b/>
          <w:bCs/>
          <w:sz w:val="28"/>
          <w:szCs w:val="28"/>
        </w:rPr>
        <w:t>提名意见：</w:t>
      </w:r>
    </w:p>
    <w:p w14:paraId="546A9204">
      <w:pPr>
        <w:autoSpaceDE w:val="0"/>
        <w:autoSpaceDN w:val="0"/>
        <w:adjustRightInd w:val="0"/>
        <w:spacing w:line="360" w:lineRule="auto"/>
        <w:ind w:firstLine="560" w:firstLineChars="200"/>
        <w:rPr>
          <w:rFonts w:hint="eastAsia" w:ascii="仿宋_GB2312" w:hAnsi="Times New Roman" w:eastAsia="仿宋_GB2312" w:cs="Times New Roman"/>
          <w:sz w:val="28"/>
          <w:szCs w:val="28"/>
        </w:rPr>
      </w:pPr>
      <w:r>
        <w:rPr>
          <w:rFonts w:hint="eastAsia" w:ascii="仿宋_GB2312" w:hAnsi="Times New Roman" w:eastAsia="仿宋_GB2312" w:cs="Times New Roman"/>
          <w:sz w:val="28"/>
          <w:szCs w:val="28"/>
        </w:rPr>
        <w:t>该项目立足国家生态文明建设重大战略和林业高质发展的需求，针对我国亚热带地区湿地松、马尾松、杉木人工针叶林面积大，但地力衰退、结构不稳定、功能与人类需求不充分不协调等问题，以提质增效为目标，创新了木材高产、服务高效、收益高值的人工针叶林功能提升技术；构建了地力-结构-功能协同的“三维”培育技术体系，提出了因地定林优能、因林提地增能、因能修地调林三种典型培育技术模式。项目成果拥有国家授权专利、软件著作登记权、地方标准规程等24项，出版专著和发表论文81部篇。营造试验示范林9万余亩，取得了显著的生态经济社会效益。</w:t>
      </w:r>
    </w:p>
    <w:p w14:paraId="64289B01">
      <w:pPr>
        <w:tabs>
          <w:tab w:val="left" w:pos="2962"/>
        </w:tabs>
        <w:snapToGrid w:val="0"/>
        <w:spacing w:before="156" w:beforeLines="50" w:line="360" w:lineRule="auto"/>
        <w:rPr>
          <w:rFonts w:hint="eastAsia" w:ascii="仿宋_GB2312" w:hAnsi="Times New Roman" w:eastAsia="仿宋_GB2312" w:cs="Times New Roman"/>
          <w:sz w:val="28"/>
          <w:szCs w:val="28"/>
        </w:rPr>
      </w:pPr>
      <w:r>
        <w:rPr>
          <w:rFonts w:hint="eastAsia" w:ascii="仿宋_GB2312" w:hAnsi="Times New Roman" w:eastAsia="仿宋_GB2312" w:cs="Times New Roman"/>
          <w:b/>
          <w:bCs/>
          <w:sz w:val="28"/>
          <w:szCs w:val="28"/>
        </w:rPr>
        <w:t>提名等级：</w:t>
      </w:r>
      <w:r>
        <w:rPr>
          <w:rFonts w:hint="eastAsia" w:ascii="仿宋_GB2312" w:hAnsi="Times New Roman" w:eastAsia="仿宋_GB2312" w:cs="Times New Roman"/>
          <w:sz w:val="28"/>
          <w:szCs w:val="28"/>
        </w:rPr>
        <w:t>江西省科学技术进步</w:t>
      </w:r>
      <w:r>
        <w:rPr>
          <w:rFonts w:hint="eastAsia" w:ascii="仿宋_GB2312" w:hAnsi="Times New Roman" w:eastAsia="仿宋_GB2312" w:cs="Times New Roman"/>
          <w:sz w:val="28"/>
          <w:szCs w:val="28"/>
          <w:lang w:val="en-US" w:eastAsia="zh-CN"/>
        </w:rPr>
        <w:t>奖</w:t>
      </w:r>
      <w:r>
        <w:rPr>
          <w:rFonts w:hint="eastAsia" w:ascii="仿宋_GB2312" w:hAnsi="Times New Roman" w:eastAsia="仿宋_GB2312" w:cs="Times New Roman"/>
          <w:sz w:val="28"/>
          <w:szCs w:val="28"/>
        </w:rPr>
        <w:t>一等奖</w:t>
      </w:r>
    </w:p>
    <w:p w14:paraId="011BFA39">
      <w:pPr>
        <w:tabs>
          <w:tab w:val="left" w:pos="2962"/>
        </w:tabs>
        <w:snapToGrid w:val="0"/>
        <w:spacing w:before="156" w:beforeLines="50" w:line="360" w:lineRule="auto"/>
        <w:ind w:left="85"/>
        <w:rPr>
          <w:rFonts w:hint="eastAsia" w:ascii="仿宋_GB2312" w:hAnsi="Times New Roman" w:eastAsia="仿宋_GB2312" w:cs="Times New Roman"/>
          <w:b/>
          <w:bCs/>
          <w:sz w:val="28"/>
          <w:szCs w:val="28"/>
        </w:rPr>
      </w:pPr>
      <w:r>
        <w:rPr>
          <w:rFonts w:hint="eastAsia" w:ascii="仿宋_GB2312" w:hAnsi="Times New Roman" w:eastAsia="仿宋_GB2312" w:cs="Times New Roman"/>
          <w:b/>
          <w:bCs/>
          <w:sz w:val="28"/>
          <w:szCs w:val="28"/>
        </w:rPr>
        <w:t>项目简介：</w:t>
      </w:r>
    </w:p>
    <w:p w14:paraId="1CD217E6">
      <w:pPr>
        <w:spacing w:line="360" w:lineRule="auto"/>
        <w:ind w:firstLine="560" w:firstLineChars="200"/>
        <w:rPr>
          <w:rFonts w:hint="eastAsia" w:ascii="仿宋_GB2312" w:hAnsi="Times New Roman" w:eastAsia="仿宋_GB2312" w:cs="Times New Roman"/>
          <w:sz w:val="28"/>
          <w:szCs w:val="28"/>
        </w:rPr>
      </w:pPr>
      <w:r>
        <w:rPr>
          <w:rFonts w:hint="eastAsia" w:ascii="仿宋_GB2312" w:hAnsi="Times New Roman" w:eastAsia="仿宋_GB2312" w:cs="Times New Roman"/>
          <w:sz w:val="28"/>
          <w:szCs w:val="28"/>
        </w:rPr>
        <w:t>该成果属于林业领域，涵盖森林培育、森林生态和森林经理等多个学科，为社会公益类。经40年大规模人工造林，我国人工林面积居全球首位，但人工针叶纯林比例高，存在地力维持困难、林分结构单一、生态功能较弱等突出问题。在生态文明思想指导下，森林经营已从传统木材生产单一目标转向生态系统多功能协调发展，亚热带人工针叶林提质增效已成为打造美丽中国样板，服务林业高质量发展，推进林业现代化的重要任务。本研究以江西省经营面积最大的湿地松（</w:t>
      </w:r>
      <w:r>
        <w:rPr>
          <w:rFonts w:hint="eastAsia" w:ascii="仿宋_GB2312" w:hAnsi="Times New Roman" w:eastAsia="仿宋_GB2312" w:cs="Times New Roman"/>
          <w:i/>
          <w:iCs/>
          <w:sz w:val="28"/>
          <w:szCs w:val="28"/>
        </w:rPr>
        <w:t>Pinus elliottii</w:t>
      </w:r>
      <w:r>
        <w:rPr>
          <w:rFonts w:hint="eastAsia" w:ascii="仿宋_GB2312" w:hAnsi="Times New Roman" w:eastAsia="仿宋_GB2312" w:cs="Times New Roman"/>
          <w:sz w:val="28"/>
          <w:szCs w:val="28"/>
        </w:rPr>
        <w:t>）、马尾松（</w:t>
      </w:r>
      <w:r>
        <w:rPr>
          <w:rFonts w:hint="eastAsia" w:ascii="仿宋_GB2312" w:hAnsi="Times New Roman" w:eastAsia="仿宋_GB2312" w:cs="Times New Roman"/>
          <w:i/>
          <w:iCs/>
          <w:sz w:val="28"/>
          <w:szCs w:val="28"/>
        </w:rPr>
        <w:t>P. massoniana</w:t>
      </w:r>
      <w:r>
        <w:rPr>
          <w:rFonts w:hint="eastAsia" w:ascii="仿宋_GB2312" w:hAnsi="Times New Roman" w:eastAsia="仿宋_GB2312" w:cs="Times New Roman"/>
          <w:sz w:val="28"/>
          <w:szCs w:val="28"/>
        </w:rPr>
        <w:t>）、杉木（</w:t>
      </w:r>
      <w:r>
        <w:rPr>
          <w:rFonts w:hint="eastAsia" w:ascii="仿宋_GB2312" w:hAnsi="Times New Roman" w:eastAsia="仿宋_GB2312" w:cs="Times New Roman"/>
          <w:i/>
          <w:iCs/>
          <w:sz w:val="28"/>
          <w:szCs w:val="28"/>
        </w:rPr>
        <w:t>Cunninghamia lanceolata</w:t>
      </w:r>
      <w:r>
        <w:rPr>
          <w:rFonts w:hint="eastAsia" w:ascii="仿宋_GB2312" w:hAnsi="Times New Roman" w:eastAsia="仿宋_GB2312" w:cs="Times New Roman"/>
          <w:sz w:val="28"/>
          <w:szCs w:val="28"/>
        </w:rPr>
        <w:t xml:space="preserve">）人工林为对象，针对地力-结构-功能的错位失调，开展培育理论研究、技术开发、模式集成与示范推广，历时18年， 取得成果如下： </w:t>
      </w:r>
    </w:p>
    <w:p w14:paraId="3F7E89A2">
      <w:pPr>
        <w:spacing w:line="360" w:lineRule="auto"/>
        <w:ind w:firstLine="560" w:firstLineChars="200"/>
        <w:rPr>
          <w:rFonts w:hint="eastAsia" w:ascii="仿宋_GB2312" w:hAnsi="Times New Roman" w:eastAsia="仿宋_GB2312" w:cs="Times New Roman"/>
          <w:sz w:val="28"/>
          <w:szCs w:val="28"/>
        </w:rPr>
      </w:pPr>
      <w:r>
        <w:rPr>
          <w:rFonts w:hint="eastAsia" w:ascii="仿宋_GB2312" w:hAnsi="Times New Roman" w:eastAsia="仿宋_GB2312" w:cs="Times New Roman"/>
          <w:sz w:val="28"/>
          <w:szCs w:val="28"/>
        </w:rPr>
        <w:t>1、构建了集地力评判、结构评价、功能评估为一体的人工林“三维”协同评价方法体系；丰富了地力维持、结构优化、功能提升等人工林培育理论体系，阐明了生态化学计量与养分回收调控人工林物质循环的机理，揭示了光环境调控与生态位互补主导林分动态的机制，提出了生态系统多功能评估与多尺度权衡的方法，为人工林提质增效奠定了坚实理论基础。</w:t>
      </w:r>
    </w:p>
    <w:p w14:paraId="1E97CCC2">
      <w:pPr>
        <w:spacing w:line="360" w:lineRule="auto"/>
        <w:ind w:firstLine="560" w:firstLineChars="200"/>
        <w:rPr>
          <w:rFonts w:hint="eastAsia" w:ascii="仿宋_GB2312" w:hAnsi="Times New Roman" w:eastAsia="仿宋_GB2312" w:cs="Times New Roman"/>
          <w:sz w:val="28"/>
          <w:szCs w:val="28"/>
        </w:rPr>
      </w:pPr>
      <w:r>
        <w:rPr>
          <w:rFonts w:hint="eastAsia" w:ascii="仿宋_GB2312" w:hAnsi="Times New Roman" w:eastAsia="仿宋_GB2312" w:cs="Times New Roman"/>
          <w:sz w:val="28"/>
          <w:szCs w:val="28"/>
        </w:rPr>
        <w:t>2、整合测土配方施肥、残落物管理、树种选择等关键措施，创新了外部供应、自我维持、高效节约的人工针叶林地力维持技术；集成密度调整与树种补植、乔灌草搭配与林下管理、生态位互补与极端气候应对等措施，重塑了水平结构、垂直结构、时间动态的人工针叶林结构优化技术；权衡木材生产、碳汇、生物多样性、水土保持、林下经济等，形成了木材高产、服务高效、收益高值的人工针叶林功能提升技术；构建了地力-结构-功能协同的“三维”培育技术体系与智慧决策支持系统，率先提出了因地定林优能、因林提地增能、因能修地调林三种典型培育技术模式，破解了亚热带人工针叶林“适地适林适能”技术瓶颈。</w:t>
      </w:r>
    </w:p>
    <w:p w14:paraId="71F73316">
      <w:pPr>
        <w:spacing w:line="360" w:lineRule="auto"/>
        <w:ind w:firstLine="560" w:firstLineChars="200"/>
        <w:rPr>
          <w:rFonts w:hint="eastAsia" w:ascii="仿宋_GB2312" w:hAnsi="Times New Roman" w:eastAsia="仿宋_GB2312" w:cs="Times New Roman"/>
          <w:sz w:val="28"/>
          <w:szCs w:val="28"/>
        </w:rPr>
      </w:pPr>
      <w:r>
        <w:rPr>
          <w:rFonts w:hint="eastAsia" w:ascii="仿宋_GB2312" w:hAnsi="Times New Roman" w:eastAsia="仿宋_GB2312" w:cs="Times New Roman"/>
          <w:sz w:val="28"/>
          <w:szCs w:val="28"/>
        </w:rPr>
        <w:t>3、制定了地方标准3项，获授权专利9项，软件著作权12项，出版专著3部，发表论文78篇。研究成果在江西及周边省份示范和推广，试验示范9万余亩，推广应用近120万亩，生态经济社会效益显著。</w:t>
      </w:r>
    </w:p>
    <w:p w14:paraId="4A41943B">
      <w:pPr>
        <w:spacing w:line="360" w:lineRule="auto"/>
        <w:rPr>
          <w:rFonts w:hint="eastAsia" w:ascii="仿宋_GB2312" w:hAnsi="Times New Roman" w:eastAsia="仿宋_GB2312" w:cs="Times New Roman"/>
          <w:sz w:val="28"/>
          <w:szCs w:val="28"/>
        </w:rPr>
      </w:pPr>
    </w:p>
    <w:p w14:paraId="20BE2671">
      <w:pPr>
        <w:spacing w:line="360" w:lineRule="auto"/>
        <w:rPr>
          <w:rFonts w:hint="eastAsia" w:ascii="仿宋_GB2312" w:hAnsi="Times New Roman" w:eastAsia="仿宋_GB2312" w:cs="Times New Roman"/>
          <w:b/>
          <w:bCs/>
          <w:sz w:val="28"/>
          <w:szCs w:val="28"/>
        </w:rPr>
      </w:pPr>
      <w:r>
        <w:rPr>
          <w:rFonts w:hint="eastAsia" w:ascii="仿宋_GB2312" w:hAnsi="Times New Roman" w:eastAsia="仿宋_GB2312" w:cs="Times New Roman"/>
          <w:b/>
          <w:bCs/>
          <w:sz w:val="28"/>
          <w:szCs w:val="28"/>
        </w:rPr>
        <w:t>主要知识产权和标准规范等目录：</w:t>
      </w:r>
    </w:p>
    <w:tbl>
      <w:tblPr>
        <w:tblStyle w:val="9"/>
        <w:tblW w:w="5674"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864"/>
        <w:gridCol w:w="1866"/>
        <w:gridCol w:w="962"/>
        <w:gridCol w:w="1505"/>
        <w:gridCol w:w="817"/>
        <w:gridCol w:w="1714"/>
        <w:gridCol w:w="1943"/>
      </w:tblGrid>
      <w:tr w14:paraId="1468B8D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161" w:hRule="atLeast"/>
          <w:jc w:val="center"/>
        </w:trPr>
        <w:tc>
          <w:tcPr>
            <w:tcW w:w="865" w:type="dxa"/>
            <w:tcBorders>
              <w:top w:val="single" w:color="auto" w:sz="8" w:space="0"/>
              <w:left w:val="single" w:color="auto" w:sz="8" w:space="0"/>
              <w:bottom w:val="single" w:color="auto" w:sz="4" w:space="0"/>
              <w:right w:val="single" w:color="auto" w:sz="4" w:space="0"/>
            </w:tcBorders>
            <w:vAlign w:val="center"/>
          </w:tcPr>
          <w:p w14:paraId="68E87F5E">
            <w:pPr>
              <w:snapToGrid w:val="0"/>
              <w:spacing w:line="360" w:lineRule="auto"/>
              <w:jc w:val="center"/>
              <w:rPr>
                <w:rFonts w:ascii="Times New Roman" w:hAnsi="Times New Roman" w:eastAsia="宋体" w:cs="Times New Roman"/>
                <w:szCs w:val="21"/>
              </w:rPr>
            </w:pPr>
            <w:r>
              <w:rPr>
                <w:rFonts w:ascii="Times New Roman" w:hAnsi="Times New Roman" w:eastAsia="宋体" w:cs="Times New Roman"/>
                <w:szCs w:val="21"/>
              </w:rPr>
              <w:t>知识产权类别</w:t>
            </w:r>
          </w:p>
        </w:tc>
        <w:tc>
          <w:tcPr>
            <w:tcW w:w="1866" w:type="dxa"/>
            <w:tcBorders>
              <w:top w:val="single" w:color="auto" w:sz="8" w:space="0"/>
              <w:left w:val="single" w:color="auto" w:sz="4" w:space="0"/>
              <w:bottom w:val="single" w:color="auto" w:sz="4" w:space="0"/>
              <w:right w:val="single" w:color="auto" w:sz="4" w:space="0"/>
            </w:tcBorders>
            <w:vAlign w:val="center"/>
          </w:tcPr>
          <w:p w14:paraId="030BE875">
            <w:pPr>
              <w:snapToGrid w:val="0"/>
              <w:spacing w:line="360" w:lineRule="auto"/>
              <w:jc w:val="center"/>
              <w:rPr>
                <w:rFonts w:ascii="Times New Roman" w:hAnsi="Times New Roman" w:eastAsia="宋体" w:cs="Times New Roman"/>
                <w:szCs w:val="21"/>
              </w:rPr>
            </w:pPr>
            <w:r>
              <w:rPr>
                <w:rFonts w:ascii="Times New Roman" w:hAnsi="Times New Roman" w:eastAsia="宋体" w:cs="Times New Roman"/>
                <w:szCs w:val="21"/>
              </w:rPr>
              <w:t>知识产权</w:t>
            </w:r>
          </w:p>
          <w:p w14:paraId="377AF946">
            <w:pPr>
              <w:snapToGrid w:val="0"/>
              <w:spacing w:line="360" w:lineRule="auto"/>
              <w:jc w:val="center"/>
              <w:rPr>
                <w:rFonts w:ascii="Times New Roman" w:hAnsi="Times New Roman" w:eastAsia="宋体" w:cs="Times New Roman"/>
                <w:szCs w:val="21"/>
              </w:rPr>
            </w:pPr>
            <w:r>
              <w:rPr>
                <w:rFonts w:ascii="Times New Roman" w:hAnsi="Times New Roman" w:eastAsia="宋体" w:cs="Times New Roman"/>
                <w:szCs w:val="21"/>
              </w:rPr>
              <w:t>具体名称</w:t>
            </w:r>
          </w:p>
        </w:tc>
        <w:tc>
          <w:tcPr>
            <w:tcW w:w="962" w:type="dxa"/>
            <w:tcBorders>
              <w:top w:val="single" w:color="auto" w:sz="8" w:space="0"/>
              <w:left w:val="single" w:color="auto" w:sz="4" w:space="0"/>
              <w:bottom w:val="single" w:color="auto" w:sz="4" w:space="0"/>
              <w:right w:val="single" w:color="auto" w:sz="4" w:space="0"/>
            </w:tcBorders>
            <w:vAlign w:val="center"/>
          </w:tcPr>
          <w:p w14:paraId="33AC5B67">
            <w:pPr>
              <w:snapToGrid w:val="0"/>
              <w:spacing w:line="360" w:lineRule="auto"/>
              <w:jc w:val="center"/>
              <w:rPr>
                <w:rFonts w:ascii="Times New Roman" w:hAnsi="Times New Roman" w:eastAsia="宋体" w:cs="Times New Roman"/>
                <w:szCs w:val="21"/>
              </w:rPr>
            </w:pPr>
            <w:r>
              <w:rPr>
                <w:rFonts w:ascii="Times New Roman" w:hAnsi="Times New Roman" w:eastAsia="宋体" w:cs="Times New Roman"/>
                <w:szCs w:val="21"/>
              </w:rPr>
              <w:t>国家</w:t>
            </w:r>
          </w:p>
          <w:p w14:paraId="06D7DFC0">
            <w:pPr>
              <w:snapToGrid w:val="0"/>
              <w:spacing w:line="360" w:lineRule="auto"/>
              <w:jc w:val="center"/>
              <w:rPr>
                <w:rFonts w:ascii="Times New Roman" w:hAnsi="Times New Roman" w:eastAsia="宋体" w:cs="Times New Roman"/>
                <w:szCs w:val="21"/>
              </w:rPr>
            </w:pPr>
            <w:r>
              <w:rPr>
                <w:rFonts w:ascii="Times New Roman" w:hAnsi="Times New Roman" w:eastAsia="宋体" w:cs="Times New Roman"/>
                <w:szCs w:val="21"/>
              </w:rPr>
              <w:t>（地区）</w:t>
            </w:r>
          </w:p>
        </w:tc>
        <w:tc>
          <w:tcPr>
            <w:tcW w:w="1505" w:type="dxa"/>
            <w:tcBorders>
              <w:top w:val="single" w:color="auto" w:sz="8" w:space="0"/>
              <w:left w:val="single" w:color="auto" w:sz="4" w:space="0"/>
              <w:bottom w:val="single" w:color="auto" w:sz="4" w:space="0"/>
              <w:right w:val="single" w:color="auto" w:sz="4" w:space="0"/>
            </w:tcBorders>
            <w:vAlign w:val="center"/>
          </w:tcPr>
          <w:p w14:paraId="31820357">
            <w:pPr>
              <w:snapToGrid w:val="0"/>
              <w:spacing w:line="360" w:lineRule="auto"/>
              <w:jc w:val="center"/>
              <w:rPr>
                <w:rFonts w:ascii="Times New Roman" w:hAnsi="Times New Roman" w:eastAsia="宋体" w:cs="Times New Roman"/>
                <w:szCs w:val="21"/>
              </w:rPr>
            </w:pPr>
            <w:r>
              <w:rPr>
                <w:rFonts w:ascii="Times New Roman" w:hAnsi="Times New Roman" w:eastAsia="宋体" w:cs="Times New Roman"/>
                <w:szCs w:val="21"/>
              </w:rPr>
              <w:t>授权号</w:t>
            </w:r>
          </w:p>
        </w:tc>
        <w:tc>
          <w:tcPr>
            <w:tcW w:w="817" w:type="dxa"/>
            <w:tcBorders>
              <w:top w:val="single" w:color="auto" w:sz="8" w:space="0"/>
              <w:left w:val="single" w:color="auto" w:sz="4" w:space="0"/>
              <w:bottom w:val="single" w:color="auto" w:sz="4" w:space="0"/>
              <w:right w:val="single" w:color="auto" w:sz="4" w:space="0"/>
            </w:tcBorders>
            <w:vAlign w:val="center"/>
          </w:tcPr>
          <w:p w14:paraId="6B508DE0">
            <w:pPr>
              <w:snapToGrid w:val="0"/>
              <w:spacing w:line="360" w:lineRule="auto"/>
              <w:jc w:val="center"/>
              <w:rPr>
                <w:rFonts w:ascii="Times New Roman" w:hAnsi="Times New Roman" w:eastAsia="宋体" w:cs="Times New Roman"/>
                <w:szCs w:val="21"/>
              </w:rPr>
            </w:pPr>
            <w:r>
              <w:rPr>
                <w:rFonts w:ascii="Times New Roman" w:hAnsi="Times New Roman" w:eastAsia="宋体" w:cs="Times New Roman"/>
                <w:szCs w:val="21"/>
              </w:rPr>
              <w:t>授权日期</w:t>
            </w:r>
          </w:p>
        </w:tc>
        <w:tc>
          <w:tcPr>
            <w:tcW w:w="1714" w:type="dxa"/>
            <w:tcBorders>
              <w:top w:val="single" w:color="auto" w:sz="8" w:space="0"/>
              <w:left w:val="single" w:color="auto" w:sz="4" w:space="0"/>
              <w:bottom w:val="single" w:color="auto" w:sz="4" w:space="0"/>
              <w:right w:val="single" w:color="auto" w:sz="8" w:space="0"/>
            </w:tcBorders>
            <w:vAlign w:val="center"/>
          </w:tcPr>
          <w:p w14:paraId="4D5E3206">
            <w:pPr>
              <w:snapToGrid w:val="0"/>
              <w:spacing w:line="360" w:lineRule="auto"/>
              <w:jc w:val="center"/>
              <w:rPr>
                <w:rFonts w:ascii="Times New Roman" w:hAnsi="Times New Roman" w:eastAsia="宋体" w:cs="Times New Roman"/>
                <w:szCs w:val="21"/>
              </w:rPr>
            </w:pPr>
            <w:r>
              <w:rPr>
                <w:rFonts w:hint="eastAsia" w:ascii="Times New Roman" w:hAnsi="Times New Roman" w:eastAsia="宋体" w:cs="Times New Roman"/>
                <w:szCs w:val="21"/>
              </w:rPr>
              <w:t>成果第一单位</w:t>
            </w:r>
          </w:p>
        </w:tc>
        <w:tc>
          <w:tcPr>
            <w:tcW w:w="1943" w:type="dxa"/>
            <w:tcBorders>
              <w:top w:val="single" w:color="auto" w:sz="8" w:space="0"/>
              <w:left w:val="single" w:color="auto" w:sz="4" w:space="0"/>
              <w:bottom w:val="single" w:color="auto" w:sz="4" w:space="0"/>
              <w:right w:val="single" w:color="auto" w:sz="8" w:space="0"/>
            </w:tcBorders>
            <w:vAlign w:val="center"/>
          </w:tcPr>
          <w:p w14:paraId="0471703D">
            <w:pPr>
              <w:snapToGrid w:val="0"/>
              <w:spacing w:line="360" w:lineRule="auto"/>
              <w:jc w:val="center"/>
              <w:rPr>
                <w:rFonts w:ascii="Times New Roman" w:hAnsi="Times New Roman" w:eastAsia="宋体" w:cs="Times New Roman"/>
                <w:szCs w:val="21"/>
              </w:rPr>
            </w:pPr>
            <w:r>
              <w:rPr>
                <w:rFonts w:ascii="Times New Roman" w:hAnsi="Times New Roman" w:eastAsia="宋体" w:cs="Times New Roman"/>
                <w:szCs w:val="21"/>
              </w:rPr>
              <w:t>发明人</w:t>
            </w:r>
          </w:p>
        </w:tc>
      </w:tr>
      <w:tr w14:paraId="4C6D1D9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486" w:hRule="atLeast"/>
          <w:jc w:val="center"/>
        </w:trPr>
        <w:tc>
          <w:tcPr>
            <w:tcW w:w="865" w:type="dxa"/>
            <w:tcBorders>
              <w:top w:val="single" w:color="auto" w:sz="8" w:space="0"/>
              <w:left w:val="single" w:color="auto" w:sz="8" w:space="0"/>
              <w:bottom w:val="single" w:color="auto" w:sz="4" w:space="0"/>
              <w:right w:val="single" w:color="auto" w:sz="4" w:space="0"/>
            </w:tcBorders>
            <w:vAlign w:val="center"/>
          </w:tcPr>
          <w:p w14:paraId="1A000FD7">
            <w:pPr>
              <w:snapToGrid w:val="0"/>
              <w:spacing w:line="360" w:lineRule="auto"/>
              <w:jc w:val="center"/>
              <w:rPr>
                <w:rFonts w:ascii="Times New Roman" w:hAnsi="Times New Roman" w:eastAsia="宋体" w:cs="Times New Roman"/>
                <w:szCs w:val="21"/>
                <w:lang w:val="zh-CN"/>
              </w:rPr>
            </w:pPr>
            <w:r>
              <w:rPr>
                <w:rFonts w:ascii="Times New Roman" w:hAnsi="Times New Roman" w:eastAsia="宋体" w:cs="Times New Roman"/>
                <w:szCs w:val="21"/>
                <w:lang w:val="zh-CN"/>
              </w:rPr>
              <w:t>发明专利</w:t>
            </w:r>
          </w:p>
        </w:tc>
        <w:tc>
          <w:tcPr>
            <w:tcW w:w="1866" w:type="dxa"/>
            <w:tcBorders>
              <w:top w:val="single" w:color="auto" w:sz="8" w:space="0"/>
              <w:left w:val="single" w:color="auto" w:sz="4" w:space="0"/>
              <w:bottom w:val="single" w:color="auto" w:sz="4" w:space="0"/>
              <w:right w:val="single" w:color="auto" w:sz="4" w:space="0"/>
            </w:tcBorders>
            <w:vAlign w:val="center"/>
          </w:tcPr>
          <w:p w14:paraId="2B82D7A1">
            <w:pPr>
              <w:snapToGrid w:val="0"/>
              <w:spacing w:line="360" w:lineRule="auto"/>
              <w:jc w:val="center"/>
              <w:rPr>
                <w:rFonts w:ascii="Times New Roman" w:hAnsi="Times New Roman" w:eastAsia="宋体" w:cs="Times New Roman"/>
                <w:szCs w:val="21"/>
                <w:lang w:val="zh-CN"/>
              </w:rPr>
            </w:pPr>
            <w:r>
              <w:rPr>
                <w:rFonts w:hint="eastAsia" w:ascii="Times New Roman" w:hAnsi="Times New Roman" w:eastAsia="宋体" w:cs="Times New Roman"/>
                <w:szCs w:val="21"/>
                <w:lang w:val="zh-CN"/>
              </w:rPr>
              <w:t>一株路德维希肠杆菌PN6及其应用</w:t>
            </w:r>
          </w:p>
        </w:tc>
        <w:tc>
          <w:tcPr>
            <w:tcW w:w="962" w:type="dxa"/>
            <w:tcBorders>
              <w:top w:val="single" w:color="auto" w:sz="8" w:space="0"/>
              <w:left w:val="single" w:color="auto" w:sz="4" w:space="0"/>
              <w:bottom w:val="single" w:color="auto" w:sz="4" w:space="0"/>
              <w:right w:val="single" w:color="auto" w:sz="4" w:space="0"/>
            </w:tcBorders>
            <w:vAlign w:val="center"/>
          </w:tcPr>
          <w:p w14:paraId="60DA5D63">
            <w:pPr>
              <w:snapToGrid w:val="0"/>
              <w:spacing w:line="360" w:lineRule="auto"/>
              <w:jc w:val="center"/>
              <w:rPr>
                <w:rFonts w:ascii="Times New Roman" w:hAnsi="Times New Roman" w:eastAsia="宋体" w:cs="Times New Roman"/>
                <w:szCs w:val="21"/>
                <w:lang w:val="zh-CN"/>
              </w:rPr>
            </w:pPr>
            <w:r>
              <w:rPr>
                <w:rFonts w:hint="eastAsia" w:ascii="Times New Roman" w:hAnsi="Times New Roman" w:eastAsia="宋体" w:cs="Times New Roman"/>
                <w:szCs w:val="21"/>
              </w:rPr>
              <w:t>中国</w:t>
            </w:r>
          </w:p>
        </w:tc>
        <w:tc>
          <w:tcPr>
            <w:tcW w:w="1505" w:type="dxa"/>
            <w:tcBorders>
              <w:top w:val="single" w:color="auto" w:sz="8" w:space="0"/>
              <w:left w:val="single" w:color="auto" w:sz="4" w:space="0"/>
              <w:bottom w:val="single" w:color="auto" w:sz="4" w:space="0"/>
              <w:right w:val="single" w:color="auto" w:sz="4" w:space="0"/>
            </w:tcBorders>
            <w:vAlign w:val="center"/>
          </w:tcPr>
          <w:p w14:paraId="7AAB029A">
            <w:pPr>
              <w:snapToGrid w:val="0"/>
              <w:spacing w:line="360" w:lineRule="auto"/>
              <w:jc w:val="center"/>
              <w:rPr>
                <w:rFonts w:ascii="Times New Roman" w:hAnsi="Times New Roman" w:eastAsia="宋体" w:cs="Times New Roman"/>
                <w:szCs w:val="21"/>
                <w:lang w:val="zh-CN"/>
              </w:rPr>
            </w:pPr>
            <w:r>
              <w:rPr>
                <w:rFonts w:ascii="Times New Roman" w:hAnsi="Times New Roman" w:eastAsia="宋体" w:cs="Times New Roman"/>
                <w:szCs w:val="21"/>
              </w:rPr>
              <w:t>ZL201911376891.X</w:t>
            </w:r>
          </w:p>
        </w:tc>
        <w:tc>
          <w:tcPr>
            <w:tcW w:w="817" w:type="dxa"/>
            <w:tcBorders>
              <w:top w:val="single" w:color="auto" w:sz="8" w:space="0"/>
              <w:left w:val="single" w:color="auto" w:sz="4" w:space="0"/>
              <w:bottom w:val="single" w:color="auto" w:sz="4" w:space="0"/>
              <w:right w:val="single" w:color="auto" w:sz="4" w:space="0"/>
            </w:tcBorders>
            <w:vAlign w:val="center"/>
          </w:tcPr>
          <w:p w14:paraId="6B66E098">
            <w:pPr>
              <w:snapToGrid w:val="0"/>
              <w:spacing w:line="360" w:lineRule="auto"/>
              <w:jc w:val="center"/>
              <w:rPr>
                <w:rFonts w:ascii="Times New Roman" w:hAnsi="Times New Roman" w:eastAsia="宋体" w:cs="Times New Roman"/>
                <w:szCs w:val="21"/>
              </w:rPr>
            </w:pPr>
            <w:r>
              <w:rPr>
                <w:rFonts w:hint="eastAsia" w:ascii="Times New Roman" w:hAnsi="Times New Roman" w:eastAsia="宋体" w:cs="Times New Roman"/>
                <w:szCs w:val="21"/>
              </w:rPr>
              <w:t>2021.8.31</w:t>
            </w:r>
          </w:p>
        </w:tc>
        <w:tc>
          <w:tcPr>
            <w:tcW w:w="1714" w:type="dxa"/>
            <w:tcBorders>
              <w:top w:val="single" w:color="auto" w:sz="8" w:space="0"/>
              <w:left w:val="single" w:color="auto" w:sz="4" w:space="0"/>
              <w:bottom w:val="single" w:color="auto" w:sz="4" w:space="0"/>
              <w:right w:val="single" w:color="auto" w:sz="8" w:space="0"/>
            </w:tcBorders>
            <w:vAlign w:val="center"/>
          </w:tcPr>
          <w:p w14:paraId="321A9B14">
            <w:pPr>
              <w:snapToGrid w:val="0"/>
              <w:spacing w:line="360" w:lineRule="auto"/>
              <w:jc w:val="center"/>
              <w:rPr>
                <w:rFonts w:ascii="Times New Roman" w:hAnsi="Times New Roman" w:eastAsia="宋体" w:cs="Times New Roman"/>
                <w:szCs w:val="21"/>
              </w:rPr>
            </w:pPr>
            <w:r>
              <w:rPr>
                <w:rFonts w:hint="eastAsia" w:ascii="Times New Roman" w:hAnsi="Times New Roman" w:eastAsia="宋体" w:cs="Times New Roman"/>
                <w:szCs w:val="21"/>
              </w:rPr>
              <w:t>江西农业大学</w:t>
            </w:r>
          </w:p>
        </w:tc>
        <w:tc>
          <w:tcPr>
            <w:tcW w:w="1943" w:type="dxa"/>
            <w:tcBorders>
              <w:top w:val="single" w:color="auto" w:sz="8" w:space="0"/>
              <w:left w:val="single" w:color="auto" w:sz="4" w:space="0"/>
              <w:bottom w:val="single" w:color="auto" w:sz="4" w:space="0"/>
              <w:right w:val="single" w:color="auto" w:sz="8" w:space="0"/>
            </w:tcBorders>
            <w:vAlign w:val="center"/>
          </w:tcPr>
          <w:p w14:paraId="6375D25C">
            <w:pPr>
              <w:snapToGrid w:val="0"/>
              <w:spacing w:line="360" w:lineRule="auto"/>
              <w:jc w:val="center"/>
              <w:rPr>
                <w:rFonts w:ascii="Times New Roman" w:hAnsi="Times New Roman" w:eastAsia="宋体" w:cs="Times New Roman"/>
                <w:szCs w:val="21"/>
                <w:lang w:val="zh-CN"/>
              </w:rPr>
            </w:pPr>
            <w:r>
              <w:rPr>
                <w:rFonts w:ascii="Times New Roman" w:hAnsi="Times New Roman" w:eastAsia="宋体" w:cs="Times New Roman"/>
                <w:szCs w:val="21"/>
                <w:lang w:val="zh-CN"/>
              </w:rPr>
              <w:t>陈伏生，张扬，毛瑢，方向民，卜文圣</w:t>
            </w:r>
          </w:p>
        </w:tc>
      </w:tr>
      <w:tr w14:paraId="02B598C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161" w:hRule="atLeast"/>
          <w:jc w:val="center"/>
        </w:trPr>
        <w:tc>
          <w:tcPr>
            <w:tcW w:w="865" w:type="dxa"/>
            <w:tcBorders>
              <w:top w:val="single" w:color="auto" w:sz="8" w:space="0"/>
              <w:left w:val="single" w:color="auto" w:sz="8" w:space="0"/>
              <w:bottom w:val="single" w:color="auto" w:sz="4" w:space="0"/>
              <w:right w:val="single" w:color="auto" w:sz="4" w:space="0"/>
            </w:tcBorders>
            <w:vAlign w:val="center"/>
          </w:tcPr>
          <w:p w14:paraId="6B800781">
            <w:pPr>
              <w:snapToGrid w:val="0"/>
              <w:spacing w:line="360" w:lineRule="auto"/>
              <w:jc w:val="center"/>
              <w:rPr>
                <w:rFonts w:ascii="Times New Roman" w:hAnsi="Times New Roman" w:eastAsia="宋体" w:cs="Times New Roman"/>
                <w:szCs w:val="21"/>
                <w:lang w:val="zh-CN"/>
              </w:rPr>
            </w:pPr>
            <w:r>
              <w:rPr>
                <w:rFonts w:ascii="Times New Roman" w:hAnsi="Times New Roman" w:eastAsia="宋体" w:cs="Times New Roman"/>
                <w:szCs w:val="21"/>
                <w:lang w:val="zh-CN"/>
              </w:rPr>
              <w:t>发明专利</w:t>
            </w:r>
          </w:p>
        </w:tc>
        <w:tc>
          <w:tcPr>
            <w:tcW w:w="1866" w:type="dxa"/>
            <w:tcBorders>
              <w:top w:val="single" w:color="auto" w:sz="8" w:space="0"/>
              <w:left w:val="single" w:color="auto" w:sz="4" w:space="0"/>
              <w:bottom w:val="single" w:color="auto" w:sz="4" w:space="0"/>
              <w:right w:val="single" w:color="auto" w:sz="4" w:space="0"/>
            </w:tcBorders>
            <w:vAlign w:val="center"/>
          </w:tcPr>
          <w:p w14:paraId="73685A56">
            <w:pPr>
              <w:snapToGrid w:val="0"/>
              <w:spacing w:line="360" w:lineRule="auto"/>
              <w:jc w:val="center"/>
              <w:rPr>
                <w:rFonts w:ascii="Times New Roman" w:hAnsi="Times New Roman" w:eastAsia="宋体" w:cs="Times New Roman"/>
                <w:szCs w:val="21"/>
                <w:lang w:val="zh-CN"/>
              </w:rPr>
            </w:pPr>
            <w:r>
              <w:rPr>
                <w:rFonts w:hint="eastAsia" w:ascii="Times New Roman" w:hAnsi="Times New Roman" w:eastAsia="宋体" w:cs="Times New Roman"/>
                <w:szCs w:val="21"/>
                <w:lang w:val="zh-CN"/>
              </w:rPr>
              <w:t>一种金黄篮状菌及其应用</w:t>
            </w:r>
          </w:p>
        </w:tc>
        <w:tc>
          <w:tcPr>
            <w:tcW w:w="962" w:type="dxa"/>
            <w:tcBorders>
              <w:top w:val="single" w:color="auto" w:sz="8" w:space="0"/>
              <w:left w:val="single" w:color="auto" w:sz="4" w:space="0"/>
              <w:bottom w:val="single" w:color="auto" w:sz="4" w:space="0"/>
              <w:right w:val="single" w:color="auto" w:sz="4" w:space="0"/>
            </w:tcBorders>
            <w:vAlign w:val="center"/>
          </w:tcPr>
          <w:p w14:paraId="28D1AB2A">
            <w:pPr>
              <w:snapToGrid w:val="0"/>
              <w:spacing w:line="360" w:lineRule="auto"/>
              <w:jc w:val="center"/>
              <w:rPr>
                <w:rFonts w:ascii="Times New Roman" w:hAnsi="Times New Roman" w:eastAsia="宋体" w:cs="Times New Roman"/>
                <w:szCs w:val="21"/>
                <w:lang w:val="zh-CN"/>
              </w:rPr>
            </w:pPr>
            <w:r>
              <w:rPr>
                <w:rFonts w:hint="eastAsia" w:ascii="Times New Roman" w:hAnsi="Times New Roman" w:eastAsia="宋体" w:cs="Times New Roman"/>
                <w:szCs w:val="21"/>
              </w:rPr>
              <w:t>中国</w:t>
            </w:r>
          </w:p>
        </w:tc>
        <w:tc>
          <w:tcPr>
            <w:tcW w:w="1505" w:type="dxa"/>
            <w:tcBorders>
              <w:top w:val="single" w:color="auto" w:sz="8" w:space="0"/>
              <w:left w:val="single" w:color="auto" w:sz="4" w:space="0"/>
              <w:bottom w:val="single" w:color="auto" w:sz="4" w:space="0"/>
              <w:right w:val="single" w:color="auto" w:sz="4" w:space="0"/>
            </w:tcBorders>
            <w:vAlign w:val="center"/>
          </w:tcPr>
          <w:p w14:paraId="171942BB">
            <w:pPr>
              <w:snapToGrid w:val="0"/>
              <w:spacing w:line="360" w:lineRule="auto"/>
              <w:jc w:val="center"/>
              <w:rPr>
                <w:rFonts w:ascii="Times New Roman" w:hAnsi="Times New Roman" w:eastAsia="宋体" w:cs="Times New Roman"/>
                <w:szCs w:val="21"/>
              </w:rPr>
            </w:pPr>
            <w:r>
              <w:rPr>
                <w:rFonts w:hint="eastAsia" w:ascii="Times New Roman" w:hAnsi="Times New Roman" w:eastAsia="宋体" w:cs="Times New Roman"/>
                <w:szCs w:val="21"/>
                <w:lang w:val="zh-CN"/>
              </w:rPr>
              <w:t>ZL</w:t>
            </w:r>
            <w:r>
              <w:rPr>
                <w:rFonts w:hint="eastAsia" w:ascii="Times New Roman" w:hAnsi="Times New Roman" w:eastAsia="宋体" w:cs="Times New Roman"/>
                <w:szCs w:val="21"/>
              </w:rPr>
              <w:t>201710946541.7</w:t>
            </w:r>
          </w:p>
        </w:tc>
        <w:tc>
          <w:tcPr>
            <w:tcW w:w="817" w:type="dxa"/>
            <w:tcBorders>
              <w:top w:val="single" w:color="auto" w:sz="8" w:space="0"/>
              <w:left w:val="single" w:color="auto" w:sz="4" w:space="0"/>
              <w:bottom w:val="single" w:color="auto" w:sz="4" w:space="0"/>
              <w:right w:val="single" w:color="auto" w:sz="4" w:space="0"/>
            </w:tcBorders>
            <w:vAlign w:val="center"/>
          </w:tcPr>
          <w:p w14:paraId="29BA08CE">
            <w:pPr>
              <w:snapToGrid w:val="0"/>
              <w:spacing w:line="360" w:lineRule="auto"/>
              <w:jc w:val="center"/>
              <w:rPr>
                <w:rFonts w:ascii="Times New Roman" w:hAnsi="Times New Roman" w:eastAsia="宋体" w:cs="Times New Roman"/>
                <w:szCs w:val="21"/>
              </w:rPr>
            </w:pPr>
            <w:r>
              <w:rPr>
                <w:rFonts w:hint="eastAsia" w:ascii="Times New Roman" w:hAnsi="Times New Roman" w:eastAsia="宋体" w:cs="Times New Roman"/>
                <w:szCs w:val="21"/>
              </w:rPr>
              <w:t>2020.11.24</w:t>
            </w:r>
          </w:p>
        </w:tc>
        <w:tc>
          <w:tcPr>
            <w:tcW w:w="1714" w:type="dxa"/>
            <w:tcBorders>
              <w:top w:val="single" w:color="auto" w:sz="8" w:space="0"/>
              <w:left w:val="single" w:color="auto" w:sz="4" w:space="0"/>
              <w:bottom w:val="single" w:color="auto" w:sz="4" w:space="0"/>
              <w:right w:val="single" w:color="auto" w:sz="8" w:space="0"/>
            </w:tcBorders>
            <w:vAlign w:val="center"/>
          </w:tcPr>
          <w:p w14:paraId="0077B9AE">
            <w:pPr>
              <w:snapToGrid w:val="0"/>
              <w:spacing w:line="360" w:lineRule="auto"/>
              <w:jc w:val="center"/>
              <w:rPr>
                <w:rFonts w:ascii="Times New Roman" w:hAnsi="Times New Roman" w:eastAsia="宋体" w:cs="Times New Roman"/>
                <w:szCs w:val="21"/>
              </w:rPr>
            </w:pPr>
            <w:r>
              <w:rPr>
                <w:rFonts w:hint="eastAsia" w:ascii="Times New Roman" w:hAnsi="Times New Roman" w:eastAsia="宋体" w:cs="Times New Roman"/>
                <w:szCs w:val="21"/>
              </w:rPr>
              <w:t>江西农业大学</w:t>
            </w:r>
          </w:p>
        </w:tc>
        <w:tc>
          <w:tcPr>
            <w:tcW w:w="1943" w:type="dxa"/>
            <w:tcBorders>
              <w:top w:val="single" w:color="auto" w:sz="8" w:space="0"/>
              <w:left w:val="single" w:color="auto" w:sz="4" w:space="0"/>
              <w:bottom w:val="single" w:color="auto" w:sz="4" w:space="0"/>
              <w:right w:val="single" w:color="auto" w:sz="8" w:space="0"/>
            </w:tcBorders>
            <w:vAlign w:val="center"/>
          </w:tcPr>
          <w:p w14:paraId="4A6B8596">
            <w:pPr>
              <w:snapToGrid w:val="0"/>
              <w:spacing w:line="360" w:lineRule="auto"/>
              <w:jc w:val="center"/>
              <w:rPr>
                <w:rFonts w:ascii="Times New Roman" w:hAnsi="Times New Roman" w:eastAsia="宋体" w:cs="Times New Roman"/>
                <w:szCs w:val="21"/>
                <w:lang w:val="zh-CN"/>
              </w:rPr>
            </w:pPr>
            <w:r>
              <w:rPr>
                <w:rFonts w:ascii="Times New Roman" w:hAnsi="Times New Roman" w:eastAsia="宋体" w:cs="Times New Roman"/>
                <w:szCs w:val="21"/>
                <w:lang w:val="zh-CN"/>
              </w:rPr>
              <w:t>陈伏生，张扬，张林平，栾丰刚，万松泽，方向民，胡小飞，李冬</w:t>
            </w:r>
          </w:p>
        </w:tc>
      </w:tr>
      <w:tr w14:paraId="069F6C9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161" w:hRule="atLeast"/>
          <w:jc w:val="center"/>
        </w:trPr>
        <w:tc>
          <w:tcPr>
            <w:tcW w:w="865" w:type="dxa"/>
            <w:tcBorders>
              <w:top w:val="single" w:color="auto" w:sz="8" w:space="0"/>
              <w:left w:val="single" w:color="auto" w:sz="8" w:space="0"/>
              <w:bottom w:val="single" w:color="auto" w:sz="4" w:space="0"/>
              <w:right w:val="single" w:color="auto" w:sz="4" w:space="0"/>
            </w:tcBorders>
            <w:vAlign w:val="center"/>
          </w:tcPr>
          <w:p w14:paraId="55B9AC36">
            <w:pPr>
              <w:snapToGrid w:val="0"/>
              <w:spacing w:line="360" w:lineRule="auto"/>
              <w:jc w:val="center"/>
              <w:rPr>
                <w:rFonts w:ascii="Times New Roman" w:hAnsi="Times New Roman" w:eastAsia="宋体" w:cs="Times New Roman"/>
                <w:szCs w:val="21"/>
                <w:lang w:val="zh-CN"/>
              </w:rPr>
            </w:pPr>
            <w:r>
              <w:rPr>
                <w:rFonts w:ascii="Times New Roman" w:hAnsi="Times New Roman" w:eastAsia="宋体" w:cs="Times New Roman"/>
                <w:szCs w:val="21"/>
                <w:lang w:val="zh-CN"/>
              </w:rPr>
              <w:t>发明专利</w:t>
            </w:r>
          </w:p>
        </w:tc>
        <w:tc>
          <w:tcPr>
            <w:tcW w:w="1866" w:type="dxa"/>
            <w:tcBorders>
              <w:top w:val="single" w:color="auto" w:sz="8" w:space="0"/>
              <w:left w:val="single" w:color="auto" w:sz="4" w:space="0"/>
              <w:bottom w:val="single" w:color="auto" w:sz="4" w:space="0"/>
              <w:right w:val="single" w:color="auto" w:sz="4" w:space="0"/>
            </w:tcBorders>
            <w:vAlign w:val="center"/>
          </w:tcPr>
          <w:p w14:paraId="0604D271">
            <w:pPr>
              <w:snapToGrid w:val="0"/>
              <w:spacing w:line="360" w:lineRule="auto"/>
              <w:jc w:val="center"/>
              <w:rPr>
                <w:rFonts w:ascii="Times New Roman" w:hAnsi="Times New Roman" w:eastAsia="宋体" w:cs="Times New Roman"/>
                <w:szCs w:val="21"/>
                <w:lang w:val="zh-CN"/>
              </w:rPr>
            </w:pPr>
            <w:r>
              <w:rPr>
                <w:rFonts w:ascii="Times New Roman" w:hAnsi="Times New Roman" w:eastAsia="宋体" w:cs="Times New Roman"/>
                <w:szCs w:val="21"/>
                <w:lang w:val="zh-CN"/>
              </w:rPr>
              <w:t>一种防止水土流失的生态护坡</w:t>
            </w:r>
          </w:p>
        </w:tc>
        <w:tc>
          <w:tcPr>
            <w:tcW w:w="962" w:type="dxa"/>
            <w:tcBorders>
              <w:top w:val="single" w:color="auto" w:sz="8" w:space="0"/>
              <w:left w:val="single" w:color="auto" w:sz="4" w:space="0"/>
              <w:bottom w:val="single" w:color="auto" w:sz="4" w:space="0"/>
              <w:right w:val="single" w:color="auto" w:sz="4" w:space="0"/>
            </w:tcBorders>
            <w:vAlign w:val="center"/>
          </w:tcPr>
          <w:p w14:paraId="3C7702EA">
            <w:pPr>
              <w:snapToGrid w:val="0"/>
              <w:spacing w:line="360" w:lineRule="auto"/>
              <w:jc w:val="center"/>
              <w:rPr>
                <w:rFonts w:ascii="Times New Roman" w:hAnsi="Times New Roman" w:eastAsia="宋体" w:cs="Times New Roman"/>
                <w:szCs w:val="21"/>
              </w:rPr>
            </w:pPr>
            <w:r>
              <w:rPr>
                <w:rFonts w:hint="eastAsia" w:ascii="Times New Roman" w:hAnsi="Times New Roman" w:eastAsia="宋体" w:cs="Times New Roman"/>
                <w:szCs w:val="21"/>
              </w:rPr>
              <w:t>中国</w:t>
            </w:r>
          </w:p>
        </w:tc>
        <w:tc>
          <w:tcPr>
            <w:tcW w:w="1505" w:type="dxa"/>
            <w:tcBorders>
              <w:top w:val="single" w:color="auto" w:sz="8" w:space="0"/>
              <w:left w:val="single" w:color="auto" w:sz="4" w:space="0"/>
              <w:bottom w:val="single" w:color="auto" w:sz="4" w:space="0"/>
              <w:right w:val="single" w:color="auto" w:sz="4" w:space="0"/>
            </w:tcBorders>
            <w:vAlign w:val="center"/>
          </w:tcPr>
          <w:p w14:paraId="4311679C">
            <w:pPr>
              <w:snapToGrid w:val="0"/>
              <w:spacing w:line="360" w:lineRule="auto"/>
              <w:jc w:val="center"/>
              <w:rPr>
                <w:rFonts w:ascii="Times New Roman" w:hAnsi="Times New Roman" w:eastAsia="宋体" w:cs="Times New Roman"/>
                <w:szCs w:val="21"/>
                <w:lang w:val="zh-CN"/>
              </w:rPr>
            </w:pPr>
            <w:r>
              <w:rPr>
                <w:rFonts w:ascii="Times New Roman" w:hAnsi="Times New Roman" w:eastAsia="宋体" w:cs="Times New Roman"/>
                <w:szCs w:val="21"/>
                <w:lang w:val="zh-CN"/>
              </w:rPr>
              <w:t>ZL202211433482.0</w:t>
            </w:r>
          </w:p>
        </w:tc>
        <w:tc>
          <w:tcPr>
            <w:tcW w:w="817" w:type="dxa"/>
            <w:tcBorders>
              <w:top w:val="single" w:color="auto" w:sz="8" w:space="0"/>
              <w:left w:val="single" w:color="auto" w:sz="4" w:space="0"/>
              <w:bottom w:val="single" w:color="auto" w:sz="4" w:space="0"/>
              <w:right w:val="single" w:color="auto" w:sz="4" w:space="0"/>
            </w:tcBorders>
            <w:vAlign w:val="center"/>
          </w:tcPr>
          <w:p w14:paraId="5DB96B21">
            <w:pPr>
              <w:snapToGrid w:val="0"/>
              <w:spacing w:line="360" w:lineRule="auto"/>
              <w:jc w:val="center"/>
              <w:rPr>
                <w:rFonts w:ascii="Times New Roman" w:hAnsi="Times New Roman" w:eastAsia="宋体" w:cs="Times New Roman"/>
                <w:szCs w:val="21"/>
              </w:rPr>
            </w:pPr>
            <w:r>
              <w:rPr>
                <w:rFonts w:hint="eastAsia" w:ascii="Times New Roman" w:hAnsi="Times New Roman" w:eastAsia="宋体" w:cs="Times New Roman"/>
                <w:szCs w:val="21"/>
              </w:rPr>
              <w:t>2023.8.1</w:t>
            </w:r>
          </w:p>
        </w:tc>
        <w:tc>
          <w:tcPr>
            <w:tcW w:w="1714" w:type="dxa"/>
            <w:tcBorders>
              <w:top w:val="single" w:color="auto" w:sz="8" w:space="0"/>
              <w:left w:val="single" w:color="auto" w:sz="4" w:space="0"/>
              <w:bottom w:val="single" w:color="auto" w:sz="4" w:space="0"/>
              <w:right w:val="single" w:color="auto" w:sz="8" w:space="0"/>
            </w:tcBorders>
            <w:vAlign w:val="center"/>
          </w:tcPr>
          <w:p w14:paraId="58FBAD6D">
            <w:pPr>
              <w:snapToGrid w:val="0"/>
              <w:spacing w:line="360" w:lineRule="auto"/>
              <w:jc w:val="center"/>
              <w:rPr>
                <w:rFonts w:ascii="Times New Roman" w:hAnsi="Times New Roman" w:eastAsia="宋体" w:cs="Times New Roman"/>
                <w:szCs w:val="21"/>
              </w:rPr>
            </w:pPr>
            <w:r>
              <w:rPr>
                <w:rFonts w:hint="eastAsia" w:ascii="Times New Roman" w:hAnsi="Times New Roman" w:eastAsia="宋体" w:cs="Times New Roman"/>
                <w:szCs w:val="21"/>
              </w:rPr>
              <w:t>江西省林业科学院</w:t>
            </w:r>
          </w:p>
        </w:tc>
        <w:tc>
          <w:tcPr>
            <w:tcW w:w="1943" w:type="dxa"/>
            <w:tcBorders>
              <w:top w:val="single" w:color="auto" w:sz="8" w:space="0"/>
              <w:left w:val="single" w:color="auto" w:sz="4" w:space="0"/>
              <w:bottom w:val="single" w:color="auto" w:sz="4" w:space="0"/>
              <w:right w:val="single" w:color="auto" w:sz="8" w:space="0"/>
            </w:tcBorders>
            <w:vAlign w:val="center"/>
          </w:tcPr>
          <w:p w14:paraId="251F5890">
            <w:pPr>
              <w:snapToGrid w:val="0"/>
              <w:spacing w:line="360" w:lineRule="auto"/>
              <w:jc w:val="center"/>
              <w:rPr>
                <w:rFonts w:ascii="Times New Roman" w:hAnsi="Times New Roman" w:eastAsia="宋体" w:cs="Times New Roman"/>
                <w:szCs w:val="21"/>
                <w:lang w:val="zh-CN"/>
              </w:rPr>
            </w:pPr>
            <w:r>
              <w:rPr>
                <w:rFonts w:ascii="Times New Roman" w:hAnsi="Times New Roman" w:eastAsia="宋体" w:cs="Times New Roman"/>
                <w:szCs w:val="21"/>
                <w:lang w:val="zh-CN"/>
              </w:rPr>
              <w:t>王丽艳</w:t>
            </w:r>
            <w:r>
              <w:rPr>
                <w:rFonts w:hint="eastAsia" w:ascii="Times New Roman" w:hAnsi="Times New Roman" w:eastAsia="宋体" w:cs="Times New Roman"/>
                <w:szCs w:val="21"/>
                <w:lang w:val="zh-CN"/>
              </w:rPr>
              <w:t>，</w:t>
            </w:r>
            <w:r>
              <w:rPr>
                <w:rFonts w:ascii="Times New Roman" w:hAnsi="Times New Roman" w:eastAsia="宋体" w:cs="Times New Roman"/>
                <w:szCs w:val="21"/>
                <w:lang w:val="zh-CN"/>
              </w:rPr>
              <w:t>李虹茹</w:t>
            </w:r>
            <w:r>
              <w:rPr>
                <w:rFonts w:hint="eastAsia" w:ascii="Times New Roman" w:hAnsi="Times New Roman" w:eastAsia="宋体" w:cs="Times New Roman"/>
                <w:szCs w:val="21"/>
                <w:lang w:val="zh-CN"/>
              </w:rPr>
              <w:t>，</w:t>
            </w:r>
            <w:r>
              <w:rPr>
                <w:rFonts w:ascii="Times New Roman" w:hAnsi="Times New Roman" w:eastAsia="宋体" w:cs="Times New Roman"/>
                <w:szCs w:val="21"/>
                <w:lang w:val="zh-CN"/>
              </w:rPr>
              <w:t>汤浩藩</w:t>
            </w:r>
            <w:r>
              <w:rPr>
                <w:rFonts w:hint="eastAsia" w:ascii="Times New Roman" w:hAnsi="Times New Roman" w:eastAsia="宋体" w:cs="Times New Roman"/>
                <w:szCs w:val="21"/>
                <w:lang w:val="zh-CN"/>
              </w:rPr>
              <w:t>，</w:t>
            </w:r>
            <w:r>
              <w:rPr>
                <w:rFonts w:ascii="Times New Roman" w:hAnsi="Times New Roman" w:eastAsia="宋体" w:cs="Times New Roman"/>
                <w:szCs w:val="21"/>
                <w:lang w:val="zh-CN"/>
              </w:rPr>
              <w:t>罗坤水</w:t>
            </w:r>
            <w:r>
              <w:rPr>
                <w:rFonts w:hint="eastAsia" w:ascii="Times New Roman" w:hAnsi="Times New Roman" w:eastAsia="宋体" w:cs="Times New Roman"/>
                <w:szCs w:val="21"/>
                <w:lang w:val="zh-CN"/>
              </w:rPr>
              <w:t>，</w:t>
            </w:r>
            <w:r>
              <w:rPr>
                <w:rFonts w:ascii="Times New Roman" w:hAnsi="Times New Roman" w:eastAsia="宋体" w:cs="Times New Roman"/>
                <w:szCs w:val="21"/>
                <w:lang w:val="zh-CN"/>
              </w:rPr>
              <w:t>杨桦</w:t>
            </w:r>
          </w:p>
        </w:tc>
      </w:tr>
      <w:tr w14:paraId="50A333E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161" w:hRule="atLeast"/>
          <w:jc w:val="center"/>
        </w:trPr>
        <w:tc>
          <w:tcPr>
            <w:tcW w:w="865" w:type="dxa"/>
            <w:tcBorders>
              <w:top w:val="single" w:color="auto" w:sz="8" w:space="0"/>
              <w:left w:val="single" w:color="auto" w:sz="8" w:space="0"/>
              <w:bottom w:val="single" w:color="auto" w:sz="4" w:space="0"/>
              <w:right w:val="single" w:color="auto" w:sz="4" w:space="0"/>
            </w:tcBorders>
            <w:vAlign w:val="center"/>
          </w:tcPr>
          <w:p w14:paraId="3E551762">
            <w:pPr>
              <w:snapToGrid w:val="0"/>
              <w:spacing w:line="360" w:lineRule="auto"/>
              <w:jc w:val="center"/>
              <w:rPr>
                <w:rFonts w:ascii="Times New Roman" w:hAnsi="Times New Roman" w:eastAsia="宋体" w:cs="Times New Roman"/>
                <w:szCs w:val="21"/>
                <w:lang w:val="zh-CN"/>
              </w:rPr>
            </w:pPr>
            <w:r>
              <w:rPr>
                <w:rFonts w:ascii="Times New Roman" w:hAnsi="Times New Roman" w:eastAsia="宋体" w:cs="Times New Roman"/>
                <w:szCs w:val="21"/>
                <w:lang w:val="zh-CN"/>
              </w:rPr>
              <w:t>江西省地方标准</w:t>
            </w:r>
          </w:p>
        </w:tc>
        <w:tc>
          <w:tcPr>
            <w:tcW w:w="1866" w:type="dxa"/>
            <w:tcBorders>
              <w:top w:val="single" w:color="auto" w:sz="8" w:space="0"/>
              <w:left w:val="single" w:color="auto" w:sz="4" w:space="0"/>
              <w:bottom w:val="single" w:color="auto" w:sz="4" w:space="0"/>
              <w:right w:val="single" w:color="auto" w:sz="4" w:space="0"/>
            </w:tcBorders>
            <w:vAlign w:val="center"/>
          </w:tcPr>
          <w:p w14:paraId="206B986B">
            <w:pPr>
              <w:snapToGrid w:val="0"/>
              <w:spacing w:line="360" w:lineRule="auto"/>
              <w:jc w:val="center"/>
              <w:rPr>
                <w:rFonts w:ascii="Times New Roman" w:hAnsi="Times New Roman" w:eastAsia="宋体" w:cs="Times New Roman"/>
                <w:szCs w:val="21"/>
                <w:lang w:val="zh-CN"/>
              </w:rPr>
            </w:pPr>
            <w:r>
              <w:rPr>
                <w:rFonts w:hint="eastAsia" w:ascii="Times New Roman" w:hAnsi="Times New Roman" w:eastAsia="宋体" w:cs="Times New Roman"/>
                <w:szCs w:val="21"/>
                <w:lang w:val="zh-CN"/>
              </w:rPr>
              <w:t>低产低效针叶林改造技术规程</w:t>
            </w:r>
          </w:p>
        </w:tc>
        <w:tc>
          <w:tcPr>
            <w:tcW w:w="962" w:type="dxa"/>
            <w:tcBorders>
              <w:top w:val="single" w:color="auto" w:sz="8" w:space="0"/>
              <w:left w:val="single" w:color="auto" w:sz="4" w:space="0"/>
              <w:bottom w:val="single" w:color="auto" w:sz="4" w:space="0"/>
              <w:right w:val="single" w:color="auto" w:sz="4" w:space="0"/>
            </w:tcBorders>
            <w:vAlign w:val="center"/>
          </w:tcPr>
          <w:p w14:paraId="6524CFCC">
            <w:pPr>
              <w:snapToGrid w:val="0"/>
              <w:spacing w:line="360" w:lineRule="auto"/>
              <w:jc w:val="center"/>
              <w:rPr>
                <w:rFonts w:ascii="Times New Roman" w:hAnsi="Times New Roman" w:eastAsia="宋体" w:cs="Times New Roman"/>
                <w:szCs w:val="21"/>
              </w:rPr>
            </w:pPr>
            <w:r>
              <w:rPr>
                <w:rFonts w:hint="eastAsia" w:ascii="Times New Roman" w:hAnsi="Times New Roman" w:eastAsia="宋体" w:cs="Times New Roman"/>
                <w:szCs w:val="21"/>
              </w:rPr>
              <w:t>中国</w:t>
            </w:r>
          </w:p>
        </w:tc>
        <w:tc>
          <w:tcPr>
            <w:tcW w:w="1505" w:type="dxa"/>
            <w:tcBorders>
              <w:top w:val="single" w:color="auto" w:sz="8" w:space="0"/>
              <w:left w:val="single" w:color="auto" w:sz="4" w:space="0"/>
              <w:bottom w:val="single" w:color="auto" w:sz="4" w:space="0"/>
              <w:right w:val="single" w:color="auto" w:sz="4" w:space="0"/>
            </w:tcBorders>
            <w:vAlign w:val="center"/>
          </w:tcPr>
          <w:p w14:paraId="1D50EE52">
            <w:pPr>
              <w:snapToGrid w:val="0"/>
              <w:spacing w:line="360" w:lineRule="auto"/>
              <w:jc w:val="center"/>
              <w:rPr>
                <w:rFonts w:ascii="Times New Roman" w:hAnsi="Times New Roman" w:eastAsia="宋体" w:cs="Times New Roman"/>
                <w:szCs w:val="21"/>
                <w:lang w:val="zh-CN"/>
              </w:rPr>
            </w:pPr>
            <w:r>
              <w:rPr>
                <w:rFonts w:hint="eastAsia" w:ascii="Times New Roman" w:hAnsi="Times New Roman" w:eastAsia="宋体" w:cs="Times New Roman"/>
                <w:szCs w:val="21"/>
                <w:lang w:val="zh-CN"/>
              </w:rPr>
              <w:t>DB 36/T954-2017</w:t>
            </w:r>
          </w:p>
        </w:tc>
        <w:tc>
          <w:tcPr>
            <w:tcW w:w="817" w:type="dxa"/>
            <w:tcBorders>
              <w:top w:val="single" w:color="auto" w:sz="8" w:space="0"/>
              <w:left w:val="single" w:color="auto" w:sz="4" w:space="0"/>
              <w:bottom w:val="single" w:color="auto" w:sz="4" w:space="0"/>
              <w:right w:val="single" w:color="auto" w:sz="4" w:space="0"/>
            </w:tcBorders>
            <w:vAlign w:val="center"/>
          </w:tcPr>
          <w:p w14:paraId="49E51D46">
            <w:pPr>
              <w:snapToGrid w:val="0"/>
              <w:spacing w:line="360" w:lineRule="auto"/>
              <w:jc w:val="center"/>
              <w:rPr>
                <w:rFonts w:ascii="Times New Roman" w:hAnsi="Times New Roman" w:eastAsia="宋体" w:cs="Times New Roman"/>
                <w:szCs w:val="21"/>
                <w:lang w:val="zh-CN"/>
              </w:rPr>
            </w:pPr>
            <w:r>
              <w:rPr>
                <w:rFonts w:hint="eastAsia" w:ascii="Times New Roman" w:hAnsi="Times New Roman" w:eastAsia="宋体" w:cs="Times New Roman"/>
                <w:szCs w:val="21"/>
                <w:lang w:val="zh-CN"/>
              </w:rPr>
              <w:t>2017.10.23</w:t>
            </w:r>
          </w:p>
        </w:tc>
        <w:tc>
          <w:tcPr>
            <w:tcW w:w="1714" w:type="dxa"/>
            <w:tcBorders>
              <w:top w:val="single" w:color="auto" w:sz="8" w:space="0"/>
              <w:left w:val="single" w:color="auto" w:sz="4" w:space="0"/>
              <w:bottom w:val="single" w:color="auto" w:sz="4" w:space="0"/>
              <w:right w:val="single" w:color="auto" w:sz="8" w:space="0"/>
            </w:tcBorders>
            <w:vAlign w:val="center"/>
          </w:tcPr>
          <w:p w14:paraId="603E502D">
            <w:pPr>
              <w:snapToGrid w:val="0"/>
              <w:spacing w:line="360" w:lineRule="auto"/>
              <w:jc w:val="center"/>
              <w:rPr>
                <w:rFonts w:ascii="Times New Roman" w:hAnsi="Times New Roman" w:eastAsia="宋体" w:cs="Times New Roman"/>
                <w:szCs w:val="21"/>
                <w:lang w:val="zh-CN"/>
              </w:rPr>
            </w:pPr>
            <w:r>
              <w:rPr>
                <w:rFonts w:hint="eastAsia" w:ascii="Times New Roman" w:hAnsi="Times New Roman" w:eastAsia="宋体" w:cs="Times New Roman"/>
                <w:szCs w:val="21"/>
              </w:rPr>
              <w:t>江西省林业科学院</w:t>
            </w:r>
          </w:p>
        </w:tc>
        <w:tc>
          <w:tcPr>
            <w:tcW w:w="1943" w:type="dxa"/>
            <w:tcBorders>
              <w:top w:val="single" w:color="auto" w:sz="8" w:space="0"/>
              <w:left w:val="single" w:color="auto" w:sz="4" w:space="0"/>
              <w:bottom w:val="single" w:color="auto" w:sz="4" w:space="0"/>
              <w:right w:val="single" w:color="auto" w:sz="8" w:space="0"/>
            </w:tcBorders>
            <w:vAlign w:val="center"/>
          </w:tcPr>
          <w:p w14:paraId="3F14687C">
            <w:pPr>
              <w:snapToGrid w:val="0"/>
              <w:spacing w:line="360" w:lineRule="auto"/>
              <w:jc w:val="center"/>
              <w:rPr>
                <w:rFonts w:ascii="Times New Roman" w:hAnsi="Times New Roman" w:eastAsia="宋体" w:cs="Times New Roman"/>
                <w:szCs w:val="21"/>
                <w:lang w:val="zh-CN"/>
              </w:rPr>
            </w:pPr>
            <w:r>
              <w:rPr>
                <w:rFonts w:ascii="Times New Roman" w:hAnsi="Times New Roman" w:eastAsia="宋体" w:cs="Times New Roman"/>
                <w:szCs w:val="21"/>
                <w:lang w:val="zh-CN"/>
              </w:rPr>
              <w:t>林小凡</w:t>
            </w:r>
            <w:r>
              <w:rPr>
                <w:rFonts w:hint="eastAsia" w:ascii="Times New Roman" w:hAnsi="Times New Roman" w:eastAsia="宋体" w:cs="Times New Roman"/>
                <w:szCs w:val="21"/>
                <w:lang w:val="zh-CN"/>
              </w:rPr>
              <w:t>，</w:t>
            </w:r>
            <w:r>
              <w:rPr>
                <w:rFonts w:ascii="Times New Roman" w:hAnsi="Times New Roman" w:eastAsia="宋体" w:cs="Times New Roman"/>
                <w:szCs w:val="21"/>
                <w:lang w:val="zh-CN"/>
              </w:rPr>
              <w:t>杨桦</w:t>
            </w:r>
            <w:r>
              <w:rPr>
                <w:rFonts w:hint="eastAsia" w:ascii="Times New Roman" w:hAnsi="Times New Roman" w:eastAsia="宋体" w:cs="Times New Roman"/>
                <w:szCs w:val="21"/>
                <w:lang w:val="zh-CN"/>
              </w:rPr>
              <w:t>，</w:t>
            </w:r>
            <w:r>
              <w:rPr>
                <w:rFonts w:ascii="Times New Roman" w:hAnsi="Times New Roman" w:eastAsia="宋体" w:cs="Times New Roman"/>
                <w:szCs w:val="21"/>
                <w:lang w:val="zh-CN"/>
              </w:rPr>
              <w:t>刘光正</w:t>
            </w:r>
            <w:r>
              <w:rPr>
                <w:rFonts w:hint="eastAsia" w:ascii="Times New Roman" w:hAnsi="Times New Roman" w:eastAsia="宋体" w:cs="Times New Roman"/>
                <w:szCs w:val="21"/>
                <w:lang w:val="zh-CN"/>
              </w:rPr>
              <w:t>，</w:t>
            </w:r>
            <w:r>
              <w:rPr>
                <w:rFonts w:ascii="Times New Roman" w:hAnsi="Times New Roman" w:eastAsia="宋体" w:cs="Times New Roman"/>
                <w:szCs w:val="21"/>
                <w:lang w:val="zh-CN"/>
              </w:rPr>
              <w:t>胡加林</w:t>
            </w:r>
            <w:r>
              <w:rPr>
                <w:rFonts w:hint="eastAsia" w:ascii="Times New Roman" w:hAnsi="Times New Roman" w:eastAsia="宋体" w:cs="Times New Roman"/>
                <w:szCs w:val="21"/>
                <w:lang w:val="zh-CN"/>
              </w:rPr>
              <w:t>，</w:t>
            </w:r>
            <w:r>
              <w:rPr>
                <w:rFonts w:ascii="Times New Roman" w:hAnsi="Times New Roman" w:eastAsia="宋体" w:cs="Times New Roman"/>
                <w:szCs w:val="21"/>
                <w:lang w:val="zh-CN"/>
              </w:rPr>
              <w:t>戴星照</w:t>
            </w:r>
            <w:r>
              <w:rPr>
                <w:rFonts w:hint="eastAsia" w:ascii="Times New Roman" w:hAnsi="Times New Roman" w:eastAsia="宋体" w:cs="Times New Roman"/>
                <w:szCs w:val="21"/>
                <w:lang w:val="zh-CN"/>
              </w:rPr>
              <w:t>，</w:t>
            </w:r>
            <w:r>
              <w:rPr>
                <w:rFonts w:ascii="Times New Roman" w:hAnsi="Times New Roman" w:eastAsia="宋体" w:cs="Times New Roman"/>
                <w:szCs w:val="21"/>
                <w:lang w:val="zh-CN"/>
              </w:rPr>
              <w:t>王丽艳</w:t>
            </w:r>
            <w:r>
              <w:rPr>
                <w:rFonts w:hint="eastAsia" w:ascii="Times New Roman" w:hAnsi="Times New Roman" w:eastAsia="宋体" w:cs="Times New Roman"/>
                <w:szCs w:val="21"/>
                <w:lang w:val="zh-CN"/>
              </w:rPr>
              <w:t>，</w:t>
            </w:r>
            <w:r>
              <w:rPr>
                <w:rFonts w:ascii="Times New Roman" w:hAnsi="Times New Roman" w:eastAsia="宋体" w:cs="Times New Roman"/>
                <w:szCs w:val="21"/>
                <w:lang w:val="zh-CN"/>
              </w:rPr>
              <w:t>林洪</w:t>
            </w:r>
            <w:r>
              <w:rPr>
                <w:rFonts w:hint="eastAsia" w:ascii="Times New Roman" w:hAnsi="Times New Roman" w:eastAsia="宋体" w:cs="Times New Roman"/>
                <w:szCs w:val="21"/>
                <w:lang w:val="zh-CN"/>
              </w:rPr>
              <w:t>，</w:t>
            </w:r>
            <w:r>
              <w:rPr>
                <w:rFonts w:ascii="Times New Roman" w:hAnsi="Times New Roman" w:eastAsia="宋体" w:cs="Times New Roman"/>
                <w:szCs w:val="21"/>
                <w:lang w:val="zh-CN"/>
              </w:rPr>
              <w:t>李新</w:t>
            </w:r>
            <w:r>
              <w:rPr>
                <w:rFonts w:hint="eastAsia" w:ascii="Times New Roman" w:hAnsi="Times New Roman" w:eastAsia="宋体" w:cs="Times New Roman"/>
                <w:szCs w:val="21"/>
                <w:lang w:val="zh-CN"/>
              </w:rPr>
              <w:t>，</w:t>
            </w:r>
            <w:r>
              <w:rPr>
                <w:rFonts w:ascii="Times New Roman" w:hAnsi="Times New Roman" w:eastAsia="宋体" w:cs="Times New Roman"/>
                <w:szCs w:val="21"/>
                <w:lang w:val="zh-CN"/>
              </w:rPr>
              <w:t>沈文清</w:t>
            </w:r>
            <w:r>
              <w:rPr>
                <w:rFonts w:hint="eastAsia" w:ascii="Times New Roman" w:hAnsi="Times New Roman" w:eastAsia="宋体" w:cs="Times New Roman"/>
                <w:szCs w:val="21"/>
                <w:lang w:val="zh-CN"/>
              </w:rPr>
              <w:t>，</w:t>
            </w:r>
            <w:r>
              <w:rPr>
                <w:rFonts w:ascii="Times New Roman" w:hAnsi="Times New Roman" w:eastAsia="宋体" w:cs="Times New Roman"/>
                <w:szCs w:val="21"/>
                <w:lang w:val="zh-CN"/>
              </w:rPr>
              <w:t>李庆康</w:t>
            </w:r>
            <w:r>
              <w:rPr>
                <w:rFonts w:hint="eastAsia" w:ascii="Times New Roman" w:hAnsi="Times New Roman" w:eastAsia="宋体" w:cs="Times New Roman"/>
                <w:szCs w:val="21"/>
                <w:lang w:val="zh-CN"/>
              </w:rPr>
              <w:t>，</w:t>
            </w:r>
            <w:r>
              <w:rPr>
                <w:rFonts w:ascii="Times New Roman" w:hAnsi="Times New Roman" w:eastAsia="宋体" w:cs="Times New Roman"/>
                <w:szCs w:val="21"/>
                <w:lang w:val="zh-CN"/>
              </w:rPr>
              <w:t>朱恒</w:t>
            </w:r>
            <w:r>
              <w:rPr>
                <w:rFonts w:hint="eastAsia" w:ascii="Times New Roman" w:hAnsi="Times New Roman" w:eastAsia="宋体" w:cs="Times New Roman"/>
                <w:szCs w:val="21"/>
                <w:lang w:val="zh-CN"/>
              </w:rPr>
              <w:t>，</w:t>
            </w:r>
            <w:r>
              <w:rPr>
                <w:rFonts w:ascii="Times New Roman" w:hAnsi="Times New Roman" w:eastAsia="宋体" w:cs="Times New Roman"/>
                <w:szCs w:val="21"/>
                <w:lang w:val="zh-CN"/>
              </w:rPr>
              <w:t>徐福华</w:t>
            </w:r>
          </w:p>
        </w:tc>
      </w:tr>
      <w:tr w14:paraId="19D5674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161" w:hRule="atLeast"/>
          <w:jc w:val="center"/>
        </w:trPr>
        <w:tc>
          <w:tcPr>
            <w:tcW w:w="865" w:type="dxa"/>
            <w:tcBorders>
              <w:top w:val="single" w:color="auto" w:sz="8" w:space="0"/>
              <w:left w:val="single" w:color="auto" w:sz="8" w:space="0"/>
              <w:bottom w:val="single" w:color="auto" w:sz="4" w:space="0"/>
              <w:right w:val="single" w:color="auto" w:sz="4" w:space="0"/>
            </w:tcBorders>
            <w:vAlign w:val="center"/>
          </w:tcPr>
          <w:p w14:paraId="1EF24DE7">
            <w:pPr>
              <w:snapToGrid w:val="0"/>
              <w:spacing w:line="360" w:lineRule="auto"/>
              <w:jc w:val="center"/>
              <w:rPr>
                <w:rFonts w:ascii="Times New Roman" w:hAnsi="Times New Roman" w:eastAsia="宋体" w:cs="Times New Roman"/>
                <w:szCs w:val="21"/>
                <w:lang w:val="zh-CN"/>
              </w:rPr>
            </w:pPr>
            <w:r>
              <w:rPr>
                <w:rFonts w:ascii="Times New Roman" w:hAnsi="Times New Roman" w:eastAsia="宋体" w:cs="Times New Roman"/>
                <w:szCs w:val="21"/>
                <w:lang w:val="zh-CN"/>
              </w:rPr>
              <w:t>江西省地方标准</w:t>
            </w:r>
          </w:p>
        </w:tc>
        <w:tc>
          <w:tcPr>
            <w:tcW w:w="1866" w:type="dxa"/>
            <w:tcBorders>
              <w:top w:val="single" w:color="auto" w:sz="8" w:space="0"/>
              <w:left w:val="single" w:color="auto" w:sz="4" w:space="0"/>
              <w:bottom w:val="single" w:color="auto" w:sz="4" w:space="0"/>
              <w:right w:val="single" w:color="auto" w:sz="4" w:space="0"/>
            </w:tcBorders>
            <w:vAlign w:val="center"/>
          </w:tcPr>
          <w:p w14:paraId="70CB9549">
            <w:pPr>
              <w:snapToGrid w:val="0"/>
              <w:spacing w:line="360" w:lineRule="auto"/>
              <w:jc w:val="center"/>
              <w:rPr>
                <w:rFonts w:ascii="Times New Roman" w:hAnsi="Times New Roman" w:eastAsia="宋体" w:cs="Times New Roman"/>
                <w:szCs w:val="21"/>
                <w:lang w:val="zh-CN"/>
              </w:rPr>
            </w:pPr>
            <w:r>
              <w:rPr>
                <w:rFonts w:hint="eastAsia" w:ascii="Times New Roman" w:hAnsi="Times New Roman" w:eastAsia="宋体" w:cs="Times New Roman"/>
                <w:szCs w:val="21"/>
                <w:lang w:val="zh-CN"/>
              </w:rPr>
              <w:t>湿地松</w:t>
            </w:r>
            <w:r>
              <w:rPr>
                <w:rFonts w:hint="eastAsia" w:ascii="Times New Roman" w:hAnsi="Times New Roman" w:eastAsia="宋体" w:cs="Times New Roman"/>
                <w:szCs w:val="21"/>
              </w:rPr>
              <w:t>林</w:t>
            </w:r>
            <w:r>
              <w:rPr>
                <w:rFonts w:hint="eastAsia" w:ascii="Times New Roman" w:hAnsi="Times New Roman" w:eastAsia="宋体" w:cs="Times New Roman"/>
                <w:szCs w:val="21"/>
                <w:lang w:val="zh-CN"/>
              </w:rPr>
              <w:t>抚育经营技术规程</w:t>
            </w:r>
          </w:p>
        </w:tc>
        <w:tc>
          <w:tcPr>
            <w:tcW w:w="962" w:type="dxa"/>
            <w:tcBorders>
              <w:top w:val="single" w:color="auto" w:sz="8" w:space="0"/>
              <w:left w:val="single" w:color="auto" w:sz="4" w:space="0"/>
              <w:bottom w:val="single" w:color="auto" w:sz="4" w:space="0"/>
              <w:right w:val="single" w:color="auto" w:sz="4" w:space="0"/>
            </w:tcBorders>
            <w:vAlign w:val="center"/>
          </w:tcPr>
          <w:p w14:paraId="3D40303E">
            <w:pPr>
              <w:snapToGrid w:val="0"/>
              <w:spacing w:line="360" w:lineRule="auto"/>
              <w:jc w:val="center"/>
              <w:rPr>
                <w:rFonts w:ascii="Times New Roman" w:hAnsi="Times New Roman" w:eastAsia="宋体" w:cs="Times New Roman"/>
                <w:szCs w:val="21"/>
                <w:lang w:val="zh-CN"/>
              </w:rPr>
            </w:pPr>
            <w:r>
              <w:rPr>
                <w:rFonts w:hint="eastAsia" w:ascii="Times New Roman" w:hAnsi="Times New Roman" w:eastAsia="宋体" w:cs="Times New Roman"/>
                <w:szCs w:val="21"/>
              </w:rPr>
              <w:t>中国</w:t>
            </w:r>
          </w:p>
        </w:tc>
        <w:tc>
          <w:tcPr>
            <w:tcW w:w="1505" w:type="dxa"/>
            <w:tcBorders>
              <w:top w:val="single" w:color="auto" w:sz="8" w:space="0"/>
              <w:left w:val="single" w:color="auto" w:sz="4" w:space="0"/>
              <w:bottom w:val="single" w:color="auto" w:sz="4" w:space="0"/>
              <w:right w:val="single" w:color="auto" w:sz="4" w:space="0"/>
            </w:tcBorders>
            <w:vAlign w:val="center"/>
          </w:tcPr>
          <w:p w14:paraId="5749BE45">
            <w:pPr>
              <w:snapToGrid w:val="0"/>
              <w:spacing w:line="360" w:lineRule="auto"/>
              <w:jc w:val="center"/>
              <w:rPr>
                <w:rFonts w:ascii="Times New Roman" w:hAnsi="Times New Roman" w:eastAsia="宋体" w:cs="Times New Roman"/>
                <w:szCs w:val="21"/>
                <w:lang w:val="zh-CN"/>
              </w:rPr>
            </w:pPr>
            <w:r>
              <w:rPr>
                <w:rFonts w:hint="eastAsia" w:ascii="Times New Roman" w:hAnsi="Times New Roman" w:eastAsia="宋体" w:cs="Times New Roman"/>
                <w:szCs w:val="21"/>
                <w:lang w:val="zh-CN"/>
              </w:rPr>
              <w:t>DB 36/T1319-2020</w:t>
            </w:r>
          </w:p>
        </w:tc>
        <w:tc>
          <w:tcPr>
            <w:tcW w:w="817" w:type="dxa"/>
            <w:tcBorders>
              <w:top w:val="single" w:color="auto" w:sz="8" w:space="0"/>
              <w:left w:val="single" w:color="auto" w:sz="4" w:space="0"/>
              <w:bottom w:val="single" w:color="auto" w:sz="4" w:space="0"/>
              <w:right w:val="single" w:color="auto" w:sz="4" w:space="0"/>
            </w:tcBorders>
            <w:vAlign w:val="center"/>
          </w:tcPr>
          <w:p w14:paraId="6A4BB88A">
            <w:pPr>
              <w:snapToGrid w:val="0"/>
              <w:spacing w:line="360" w:lineRule="auto"/>
              <w:jc w:val="center"/>
              <w:rPr>
                <w:rFonts w:ascii="Times New Roman" w:hAnsi="Times New Roman" w:eastAsia="宋体" w:cs="Times New Roman"/>
                <w:szCs w:val="21"/>
                <w:lang w:val="zh-CN"/>
              </w:rPr>
            </w:pPr>
            <w:r>
              <w:rPr>
                <w:rFonts w:hint="eastAsia" w:ascii="Times New Roman" w:hAnsi="Times New Roman" w:eastAsia="宋体" w:cs="Times New Roman"/>
                <w:szCs w:val="21"/>
                <w:lang w:val="zh-CN"/>
              </w:rPr>
              <w:t>2020.11.09</w:t>
            </w:r>
          </w:p>
        </w:tc>
        <w:tc>
          <w:tcPr>
            <w:tcW w:w="1714" w:type="dxa"/>
            <w:tcBorders>
              <w:top w:val="single" w:color="auto" w:sz="8" w:space="0"/>
              <w:left w:val="single" w:color="auto" w:sz="4" w:space="0"/>
              <w:bottom w:val="single" w:color="auto" w:sz="4" w:space="0"/>
              <w:right w:val="single" w:color="auto" w:sz="8" w:space="0"/>
            </w:tcBorders>
            <w:vAlign w:val="center"/>
          </w:tcPr>
          <w:p w14:paraId="33DE650C">
            <w:pPr>
              <w:snapToGrid w:val="0"/>
              <w:spacing w:line="360" w:lineRule="auto"/>
              <w:jc w:val="center"/>
              <w:rPr>
                <w:rFonts w:ascii="Times New Roman" w:hAnsi="Times New Roman" w:eastAsia="宋体" w:cs="Times New Roman"/>
                <w:szCs w:val="21"/>
                <w:lang w:val="zh-CN"/>
              </w:rPr>
            </w:pPr>
            <w:r>
              <w:rPr>
                <w:rFonts w:hint="eastAsia" w:ascii="Times New Roman" w:hAnsi="Times New Roman" w:eastAsia="宋体" w:cs="Times New Roman"/>
                <w:szCs w:val="21"/>
              </w:rPr>
              <w:t>江西省林业科学院</w:t>
            </w:r>
          </w:p>
        </w:tc>
        <w:tc>
          <w:tcPr>
            <w:tcW w:w="1943" w:type="dxa"/>
            <w:tcBorders>
              <w:top w:val="single" w:color="auto" w:sz="8" w:space="0"/>
              <w:left w:val="single" w:color="auto" w:sz="4" w:space="0"/>
              <w:bottom w:val="single" w:color="auto" w:sz="4" w:space="0"/>
              <w:right w:val="single" w:color="auto" w:sz="8" w:space="0"/>
            </w:tcBorders>
            <w:vAlign w:val="center"/>
          </w:tcPr>
          <w:p w14:paraId="05945552">
            <w:pPr>
              <w:snapToGrid w:val="0"/>
              <w:spacing w:line="360" w:lineRule="auto"/>
              <w:jc w:val="center"/>
              <w:rPr>
                <w:rFonts w:ascii="Times New Roman" w:hAnsi="Times New Roman" w:eastAsia="宋体" w:cs="Times New Roman"/>
                <w:szCs w:val="21"/>
                <w:lang w:val="zh-CN"/>
              </w:rPr>
            </w:pPr>
            <w:r>
              <w:rPr>
                <w:rFonts w:ascii="Times New Roman" w:hAnsi="Times New Roman" w:eastAsia="宋体" w:cs="Times New Roman"/>
                <w:szCs w:val="21"/>
                <w:lang w:val="zh-CN"/>
              </w:rPr>
              <w:t>罗坤水</w:t>
            </w:r>
            <w:r>
              <w:rPr>
                <w:rFonts w:hint="eastAsia" w:ascii="Times New Roman" w:hAnsi="Times New Roman" w:eastAsia="宋体" w:cs="Times New Roman"/>
                <w:szCs w:val="21"/>
                <w:lang w:val="zh-CN"/>
              </w:rPr>
              <w:t>，</w:t>
            </w:r>
            <w:r>
              <w:rPr>
                <w:rFonts w:ascii="Times New Roman" w:hAnsi="Times New Roman" w:eastAsia="宋体" w:cs="Times New Roman"/>
                <w:szCs w:val="21"/>
                <w:lang w:val="zh-CN"/>
              </w:rPr>
              <w:t>王丽艳</w:t>
            </w:r>
            <w:r>
              <w:rPr>
                <w:rFonts w:hint="eastAsia" w:ascii="Times New Roman" w:hAnsi="Times New Roman" w:eastAsia="宋体" w:cs="Times New Roman"/>
                <w:szCs w:val="21"/>
                <w:lang w:val="zh-CN"/>
              </w:rPr>
              <w:t>，</w:t>
            </w:r>
            <w:r>
              <w:rPr>
                <w:rFonts w:ascii="Times New Roman" w:hAnsi="Times New Roman" w:eastAsia="宋体" w:cs="Times New Roman"/>
                <w:szCs w:val="21"/>
                <w:lang w:val="zh-CN"/>
              </w:rPr>
              <w:t>林小凡</w:t>
            </w:r>
            <w:r>
              <w:rPr>
                <w:rFonts w:hint="eastAsia" w:ascii="Times New Roman" w:hAnsi="Times New Roman" w:eastAsia="宋体" w:cs="Times New Roman"/>
                <w:szCs w:val="21"/>
                <w:lang w:val="zh-CN"/>
              </w:rPr>
              <w:t>，</w:t>
            </w:r>
            <w:r>
              <w:rPr>
                <w:rFonts w:ascii="Times New Roman" w:hAnsi="Times New Roman" w:eastAsia="宋体" w:cs="Times New Roman"/>
                <w:szCs w:val="21"/>
                <w:lang w:val="zh-CN"/>
              </w:rPr>
              <w:t>周晨</w:t>
            </w:r>
            <w:r>
              <w:rPr>
                <w:rFonts w:hint="eastAsia" w:ascii="Times New Roman" w:hAnsi="Times New Roman" w:eastAsia="宋体" w:cs="Times New Roman"/>
                <w:szCs w:val="21"/>
                <w:lang w:val="zh-CN"/>
              </w:rPr>
              <w:t>，</w:t>
            </w:r>
            <w:r>
              <w:rPr>
                <w:rFonts w:ascii="Times New Roman" w:hAnsi="Times New Roman" w:eastAsia="宋体" w:cs="Times New Roman"/>
                <w:szCs w:val="21"/>
                <w:lang w:val="zh-CN"/>
              </w:rPr>
              <w:t>林洪</w:t>
            </w:r>
            <w:r>
              <w:rPr>
                <w:rFonts w:hint="eastAsia" w:ascii="Times New Roman" w:hAnsi="Times New Roman" w:eastAsia="宋体" w:cs="Times New Roman"/>
                <w:szCs w:val="21"/>
                <w:lang w:val="zh-CN"/>
              </w:rPr>
              <w:t>，</w:t>
            </w:r>
            <w:r>
              <w:rPr>
                <w:rFonts w:ascii="Times New Roman" w:hAnsi="Times New Roman" w:eastAsia="宋体" w:cs="Times New Roman"/>
                <w:szCs w:val="21"/>
                <w:lang w:val="zh-CN"/>
              </w:rPr>
              <w:t>杨桦</w:t>
            </w:r>
            <w:r>
              <w:rPr>
                <w:rFonts w:hint="eastAsia" w:ascii="Times New Roman" w:hAnsi="Times New Roman" w:eastAsia="宋体" w:cs="Times New Roman"/>
                <w:szCs w:val="21"/>
                <w:lang w:val="zh-CN"/>
              </w:rPr>
              <w:t>，</w:t>
            </w:r>
            <w:r>
              <w:rPr>
                <w:rFonts w:ascii="Times New Roman" w:hAnsi="Times New Roman" w:eastAsia="宋体" w:cs="Times New Roman"/>
                <w:szCs w:val="21"/>
                <w:lang w:val="zh-CN"/>
              </w:rPr>
              <w:t>蒋祥英</w:t>
            </w:r>
            <w:r>
              <w:rPr>
                <w:rFonts w:hint="eastAsia" w:ascii="Times New Roman" w:hAnsi="Times New Roman" w:eastAsia="宋体" w:cs="Times New Roman"/>
                <w:szCs w:val="21"/>
                <w:lang w:val="zh-CN"/>
              </w:rPr>
              <w:t>，</w:t>
            </w:r>
            <w:r>
              <w:rPr>
                <w:rFonts w:ascii="Times New Roman" w:hAnsi="Times New Roman" w:eastAsia="宋体" w:cs="Times New Roman"/>
                <w:szCs w:val="21"/>
                <w:lang w:val="zh-CN"/>
              </w:rPr>
              <w:t>张露华</w:t>
            </w:r>
            <w:r>
              <w:rPr>
                <w:rFonts w:hint="eastAsia" w:ascii="Times New Roman" w:hAnsi="Times New Roman" w:eastAsia="宋体" w:cs="Times New Roman"/>
                <w:szCs w:val="21"/>
                <w:lang w:val="zh-CN"/>
              </w:rPr>
              <w:t>，</w:t>
            </w:r>
            <w:r>
              <w:rPr>
                <w:rFonts w:ascii="Times New Roman" w:hAnsi="Times New Roman" w:eastAsia="宋体" w:cs="Times New Roman"/>
                <w:szCs w:val="21"/>
                <w:lang w:val="zh-CN"/>
              </w:rPr>
              <w:t>汤胜</w:t>
            </w:r>
          </w:p>
        </w:tc>
      </w:tr>
    </w:tbl>
    <w:p w14:paraId="256D2F19">
      <w:pPr>
        <w:spacing w:line="360" w:lineRule="auto"/>
        <w:rPr>
          <w:rFonts w:ascii="Times New Roman" w:hAnsi="Times New Roman" w:eastAsia="宋体" w:cs="Times New Roman"/>
          <w:sz w:val="24"/>
          <w:szCs w:val="24"/>
        </w:rPr>
      </w:pPr>
    </w:p>
    <w:p w14:paraId="203F9314">
      <w:pPr>
        <w:spacing w:line="360" w:lineRule="auto"/>
        <w:rPr>
          <w:rFonts w:hint="eastAsia" w:ascii="仿宋_GB2312" w:hAnsi="Times New Roman" w:eastAsia="仿宋_GB2312" w:cs="Times New Roman"/>
          <w:b/>
          <w:bCs/>
          <w:sz w:val="28"/>
          <w:szCs w:val="28"/>
        </w:rPr>
      </w:pPr>
      <w:r>
        <w:rPr>
          <w:rFonts w:hint="eastAsia" w:ascii="仿宋_GB2312" w:hAnsi="Times New Roman" w:eastAsia="仿宋_GB2312" w:cs="Times New Roman"/>
          <w:b/>
          <w:bCs/>
          <w:sz w:val="28"/>
          <w:szCs w:val="28"/>
        </w:rPr>
        <w:t>代表性期刊论文：</w:t>
      </w:r>
    </w:p>
    <w:tbl>
      <w:tblPr>
        <w:tblStyle w:val="9"/>
        <w:tblW w:w="9305"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2664"/>
        <w:gridCol w:w="1135"/>
        <w:gridCol w:w="552"/>
        <w:gridCol w:w="850"/>
        <w:gridCol w:w="851"/>
        <w:gridCol w:w="992"/>
        <w:gridCol w:w="1417"/>
        <w:gridCol w:w="844"/>
      </w:tblGrid>
      <w:tr w14:paraId="169BB07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161" w:hRule="atLeast"/>
          <w:jc w:val="center"/>
        </w:trPr>
        <w:tc>
          <w:tcPr>
            <w:tcW w:w="2664" w:type="dxa"/>
            <w:tcBorders>
              <w:top w:val="single" w:color="auto" w:sz="8" w:space="0"/>
              <w:left w:val="single" w:color="auto" w:sz="4" w:space="0"/>
              <w:bottom w:val="single" w:color="auto" w:sz="4" w:space="0"/>
              <w:right w:val="single" w:color="auto" w:sz="4" w:space="0"/>
            </w:tcBorders>
            <w:vAlign w:val="center"/>
          </w:tcPr>
          <w:p w14:paraId="3E6FDD9E">
            <w:pPr>
              <w:snapToGrid w:val="0"/>
              <w:spacing w:line="360" w:lineRule="auto"/>
              <w:jc w:val="center"/>
              <w:rPr>
                <w:rFonts w:ascii="Times New Roman" w:hAnsi="Times New Roman" w:eastAsia="宋体" w:cs="Times New Roman"/>
                <w:szCs w:val="21"/>
              </w:rPr>
            </w:pPr>
            <w:r>
              <w:rPr>
                <w:rFonts w:ascii="Times New Roman" w:hAnsi="Times New Roman" w:eastAsia="宋体" w:cs="Times New Roman"/>
                <w:szCs w:val="21"/>
              </w:rPr>
              <w:t>论文题目</w:t>
            </w:r>
          </w:p>
        </w:tc>
        <w:tc>
          <w:tcPr>
            <w:tcW w:w="1135" w:type="dxa"/>
            <w:tcBorders>
              <w:top w:val="single" w:color="auto" w:sz="8" w:space="0"/>
              <w:left w:val="single" w:color="auto" w:sz="4" w:space="0"/>
              <w:bottom w:val="single" w:color="auto" w:sz="4" w:space="0"/>
              <w:right w:val="single" w:color="auto" w:sz="4" w:space="0"/>
            </w:tcBorders>
            <w:vAlign w:val="center"/>
          </w:tcPr>
          <w:p w14:paraId="4AC65E45">
            <w:pPr>
              <w:snapToGrid w:val="0"/>
              <w:spacing w:line="360" w:lineRule="auto"/>
              <w:jc w:val="center"/>
              <w:rPr>
                <w:rFonts w:ascii="Times New Roman" w:hAnsi="Times New Roman" w:eastAsia="宋体" w:cs="Times New Roman"/>
                <w:szCs w:val="21"/>
              </w:rPr>
            </w:pPr>
            <w:r>
              <w:rPr>
                <w:rFonts w:ascii="Times New Roman" w:hAnsi="Times New Roman" w:eastAsia="宋体" w:cs="Times New Roman"/>
                <w:szCs w:val="21"/>
              </w:rPr>
              <w:t>刊物</w:t>
            </w:r>
          </w:p>
        </w:tc>
        <w:tc>
          <w:tcPr>
            <w:tcW w:w="552" w:type="dxa"/>
            <w:tcBorders>
              <w:top w:val="single" w:color="000000" w:sz="8" w:space="0"/>
              <w:left w:val="single" w:color="000000" w:sz="4" w:space="0"/>
              <w:bottom w:val="single" w:color="auto" w:sz="4" w:space="0"/>
              <w:right w:val="single" w:color="000000" w:sz="4" w:space="0"/>
            </w:tcBorders>
            <w:shd w:val="clear" w:color="auto" w:fill="auto"/>
            <w:vAlign w:val="center"/>
          </w:tcPr>
          <w:p w14:paraId="655F2466">
            <w:pPr>
              <w:snapToGrid w:val="0"/>
              <w:spacing w:line="360" w:lineRule="auto"/>
              <w:jc w:val="center"/>
              <w:rPr>
                <w:rFonts w:ascii="Times New Roman" w:hAnsi="Times New Roman" w:eastAsia="宋体" w:cs="Times New Roman"/>
                <w:szCs w:val="21"/>
              </w:rPr>
            </w:pPr>
            <w:r>
              <w:rPr>
                <w:rFonts w:ascii="Times New Roman" w:hAnsi="Times New Roman" w:eastAsia="宋体" w:cs="Times New Roman"/>
                <w:szCs w:val="21"/>
              </w:rPr>
              <w:t>年度</w:t>
            </w:r>
          </w:p>
        </w:tc>
        <w:tc>
          <w:tcPr>
            <w:tcW w:w="850" w:type="dxa"/>
            <w:tcBorders>
              <w:top w:val="single" w:color="000000" w:sz="8" w:space="0"/>
              <w:left w:val="nil"/>
              <w:bottom w:val="single" w:color="auto" w:sz="4" w:space="0"/>
              <w:right w:val="single" w:color="000000" w:sz="4" w:space="0"/>
            </w:tcBorders>
            <w:shd w:val="clear" w:color="auto" w:fill="auto"/>
            <w:vAlign w:val="center"/>
          </w:tcPr>
          <w:p w14:paraId="45D3A9EF">
            <w:pPr>
              <w:snapToGrid w:val="0"/>
              <w:spacing w:line="360" w:lineRule="auto"/>
              <w:jc w:val="center"/>
              <w:rPr>
                <w:rFonts w:ascii="Times New Roman" w:hAnsi="Times New Roman" w:eastAsia="宋体" w:cs="Times New Roman"/>
                <w:szCs w:val="21"/>
              </w:rPr>
            </w:pPr>
            <w:r>
              <w:rPr>
                <w:rFonts w:ascii="Times New Roman" w:hAnsi="Times New Roman" w:eastAsia="宋体" w:cs="Times New Roman"/>
                <w:szCs w:val="21"/>
              </w:rPr>
              <w:t>卷(期)</w:t>
            </w:r>
            <w:r>
              <w:rPr>
                <w:rFonts w:hint="eastAsia" w:ascii="Times New Roman" w:hAnsi="Times New Roman" w:eastAsia="宋体" w:cs="Times New Roman"/>
                <w:szCs w:val="21"/>
              </w:rPr>
              <w:t>、页码</w:t>
            </w:r>
          </w:p>
        </w:tc>
        <w:tc>
          <w:tcPr>
            <w:tcW w:w="851" w:type="dxa"/>
            <w:tcBorders>
              <w:top w:val="single" w:color="000000" w:sz="8" w:space="0"/>
              <w:left w:val="nil"/>
              <w:bottom w:val="single" w:color="auto" w:sz="4" w:space="0"/>
              <w:right w:val="single" w:color="000000" w:sz="4" w:space="0"/>
            </w:tcBorders>
            <w:shd w:val="clear" w:color="auto" w:fill="auto"/>
            <w:vAlign w:val="center"/>
          </w:tcPr>
          <w:p w14:paraId="6036D5F0">
            <w:pPr>
              <w:snapToGrid w:val="0"/>
              <w:spacing w:line="360" w:lineRule="auto"/>
              <w:jc w:val="center"/>
              <w:rPr>
                <w:rFonts w:ascii="Times New Roman" w:hAnsi="Times New Roman" w:eastAsia="宋体" w:cs="Times New Roman"/>
                <w:szCs w:val="21"/>
              </w:rPr>
            </w:pPr>
            <w:r>
              <w:rPr>
                <w:rFonts w:hint="eastAsia" w:ascii="Times New Roman" w:hAnsi="Times New Roman" w:eastAsia="宋体" w:cs="Times New Roman"/>
                <w:szCs w:val="21"/>
              </w:rPr>
              <w:t>成果第一单位</w:t>
            </w:r>
          </w:p>
        </w:tc>
        <w:tc>
          <w:tcPr>
            <w:tcW w:w="992" w:type="dxa"/>
            <w:tcBorders>
              <w:top w:val="single" w:color="000000" w:sz="8" w:space="0"/>
              <w:left w:val="nil"/>
              <w:bottom w:val="single" w:color="000000" w:sz="4" w:space="0"/>
              <w:right w:val="single" w:color="000000" w:sz="4" w:space="0"/>
            </w:tcBorders>
            <w:vAlign w:val="center"/>
          </w:tcPr>
          <w:p w14:paraId="6B7DA935">
            <w:pPr>
              <w:snapToGrid w:val="0"/>
              <w:spacing w:line="360" w:lineRule="auto"/>
              <w:jc w:val="center"/>
              <w:rPr>
                <w:rFonts w:ascii="Times New Roman" w:hAnsi="Times New Roman" w:eastAsia="宋体" w:cs="Times New Roman"/>
                <w:szCs w:val="21"/>
              </w:rPr>
            </w:pPr>
            <w:r>
              <w:rPr>
                <w:rFonts w:ascii="Times New Roman" w:hAnsi="Times New Roman" w:eastAsia="宋体" w:cs="Times New Roman"/>
                <w:szCs w:val="21"/>
              </w:rPr>
              <w:t>通讯作者</w:t>
            </w:r>
          </w:p>
        </w:tc>
        <w:tc>
          <w:tcPr>
            <w:tcW w:w="1417" w:type="dxa"/>
            <w:tcBorders>
              <w:top w:val="single" w:color="000000" w:sz="8" w:space="0"/>
              <w:left w:val="single" w:color="000000" w:sz="4" w:space="0"/>
              <w:bottom w:val="single" w:color="000000" w:sz="4" w:space="0"/>
              <w:right w:val="single" w:color="000000" w:sz="4" w:space="0"/>
            </w:tcBorders>
            <w:shd w:val="clear" w:color="auto" w:fill="auto"/>
            <w:vAlign w:val="center"/>
          </w:tcPr>
          <w:p w14:paraId="6ED38DF2">
            <w:pPr>
              <w:snapToGrid w:val="0"/>
              <w:spacing w:line="360" w:lineRule="auto"/>
              <w:jc w:val="center"/>
              <w:rPr>
                <w:rFonts w:ascii="Times New Roman" w:hAnsi="Times New Roman" w:eastAsia="宋体" w:cs="Times New Roman"/>
                <w:szCs w:val="21"/>
              </w:rPr>
            </w:pPr>
            <w:r>
              <w:rPr>
                <w:rFonts w:ascii="Times New Roman" w:hAnsi="Times New Roman" w:eastAsia="宋体" w:cs="Times New Roman"/>
                <w:szCs w:val="21"/>
              </w:rPr>
              <w:t>作者</w:t>
            </w:r>
          </w:p>
        </w:tc>
        <w:tc>
          <w:tcPr>
            <w:tcW w:w="844" w:type="dxa"/>
            <w:tcBorders>
              <w:top w:val="single" w:color="000000" w:sz="8" w:space="0"/>
              <w:left w:val="nil"/>
              <w:bottom w:val="single" w:color="000000" w:sz="4" w:space="0"/>
              <w:right w:val="single" w:color="000000" w:sz="8" w:space="0"/>
            </w:tcBorders>
            <w:shd w:val="clear" w:color="auto" w:fill="auto"/>
            <w:vAlign w:val="center"/>
          </w:tcPr>
          <w:p w14:paraId="2D040972">
            <w:pPr>
              <w:spacing w:line="360" w:lineRule="auto"/>
              <w:rPr>
                <w:rFonts w:ascii="Times New Roman" w:hAnsi="Times New Roman" w:eastAsia="宋体" w:cs="Times New Roman"/>
                <w:szCs w:val="21"/>
              </w:rPr>
            </w:pPr>
            <w:r>
              <w:rPr>
                <w:rFonts w:ascii="Times New Roman" w:hAnsi="Times New Roman" w:eastAsia="宋体" w:cs="Times New Roman"/>
                <w:szCs w:val="21"/>
              </w:rPr>
              <w:t>刊物收录类别</w:t>
            </w:r>
          </w:p>
        </w:tc>
      </w:tr>
      <w:tr w14:paraId="4C69A6D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161" w:hRule="atLeast"/>
          <w:jc w:val="center"/>
        </w:trPr>
        <w:tc>
          <w:tcPr>
            <w:tcW w:w="2664" w:type="dxa"/>
            <w:tcBorders>
              <w:top w:val="single" w:color="auto" w:sz="8" w:space="0"/>
              <w:left w:val="single" w:color="auto" w:sz="4" w:space="0"/>
              <w:bottom w:val="single" w:color="auto" w:sz="4" w:space="0"/>
              <w:right w:val="single" w:color="auto" w:sz="4" w:space="0"/>
            </w:tcBorders>
            <w:vAlign w:val="center"/>
          </w:tcPr>
          <w:p w14:paraId="4F23A1D7">
            <w:pPr>
              <w:snapToGrid w:val="0"/>
              <w:spacing w:line="360" w:lineRule="auto"/>
              <w:jc w:val="center"/>
              <w:rPr>
                <w:rFonts w:ascii="Times New Roman" w:hAnsi="Times New Roman" w:eastAsia="宋体" w:cs="Times New Roman"/>
                <w:szCs w:val="21"/>
                <w:lang w:val="en-GB"/>
              </w:rPr>
            </w:pPr>
            <w:r>
              <w:rPr>
                <w:rFonts w:ascii="Times New Roman" w:hAnsi="Times New Roman" w:eastAsia="宋体" w:cs="Times New Roman"/>
                <w:szCs w:val="21"/>
              </w:rPr>
              <w:t>Replanting of broadleaved trees alters internal nutrient cycles of native and exotic pines in subtropical plantations of China</w:t>
            </w:r>
          </w:p>
        </w:tc>
        <w:tc>
          <w:tcPr>
            <w:tcW w:w="1135" w:type="dxa"/>
            <w:tcBorders>
              <w:top w:val="single" w:color="auto" w:sz="8" w:space="0"/>
              <w:left w:val="single" w:color="auto" w:sz="4" w:space="0"/>
              <w:bottom w:val="single" w:color="auto" w:sz="4" w:space="0"/>
              <w:right w:val="single" w:color="auto" w:sz="4" w:space="0"/>
            </w:tcBorders>
            <w:vAlign w:val="center"/>
          </w:tcPr>
          <w:p w14:paraId="558B8C24">
            <w:pPr>
              <w:snapToGrid w:val="0"/>
              <w:spacing w:line="360" w:lineRule="auto"/>
              <w:jc w:val="center"/>
              <w:rPr>
                <w:rFonts w:ascii="Times New Roman" w:hAnsi="Times New Roman" w:eastAsia="宋体" w:cs="Times New Roman"/>
                <w:szCs w:val="21"/>
                <w:lang w:val="en-GB"/>
              </w:rPr>
            </w:pPr>
            <w:r>
              <w:rPr>
                <w:rFonts w:ascii="Times New Roman" w:hAnsi="Times New Roman" w:eastAsia="宋体" w:cs="Times New Roman"/>
                <w:szCs w:val="21"/>
                <w:lang w:val="zh-CN"/>
              </w:rPr>
              <w:t>Forest Ecosystems</w:t>
            </w:r>
          </w:p>
        </w:tc>
        <w:tc>
          <w:tcPr>
            <w:tcW w:w="552" w:type="dxa"/>
            <w:tcBorders>
              <w:top w:val="single" w:color="000000" w:sz="8" w:space="0"/>
              <w:left w:val="single" w:color="000000" w:sz="4" w:space="0"/>
              <w:bottom w:val="single" w:color="auto" w:sz="4" w:space="0"/>
              <w:right w:val="single" w:color="000000" w:sz="4" w:space="0"/>
            </w:tcBorders>
            <w:shd w:val="clear" w:color="auto" w:fill="auto"/>
            <w:vAlign w:val="center"/>
          </w:tcPr>
          <w:p w14:paraId="394AA32C">
            <w:pPr>
              <w:snapToGrid w:val="0"/>
              <w:spacing w:line="360" w:lineRule="auto"/>
              <w:jc w:val="center"/>
              <w:rPr>
                <w:rFonts w:ascii="Times New Roman" w:hAnsi="Times New Roman" w:eastAsia="宋体" w:cs="Times New Roman"/>
                <w:szCs w:val="21"/>
              </w:rPr>
            </w:pPr>
            <w:r>
              <w:rPr>
                <w:rFonts w:hint="eastAsia" w:ascii="Times New Roman" w:hAnsi="Times New Roman" w:eastAsia="宋体" w:cs="Times New Roman"/>
                <w:szCs w:val="21"/>
              </w:rPr>
              <w:t>2022</w:t>
            </w:r>
          </w:p>
        </w:tc>
        <w:tc>
          <w:tcPr>
            <w:tcW w:w="850" w:type="dxa"/>
            <w:tcBorders>
              <w:top w:val="single" w:color="000000" w:sz="8" w:space="0"/>
              <w:left w:val="nil"/>
              <w:bottom w:val="single" w:color="auto" w:sz="4" w:space="0"/>
              <w:right w:val="single" w:color="000000" w:sz="4" w:space="0"/>
            </w:tcBorders>
            <w:shd w:val="clear" w:color="auto" w:fill="auto"/>
            <w:vAlign w:val="center"/>
          </w:tcPr>
          <w:p w14:paraId="064A9775">
            <w:pPr>
              <w:snapToGrid w:val="0"/>
              <w:spacing w:line="360" w:lineRule="auto"/>
              <w:jc w:val="center"/>
              <w:rPr>
                <w:rFonts w:ascii="Times New Roman" w:hAnsi="Times New Roman" w:eastAsia="宋体" w:cs="Times New Roman"/>
                <w:szCs w:val="21"/>
              </w:rPr>
            </w:pPr>
            <w:r>
              <w:rPr>
                <w:rFonts w:hint="eastAsia" w:ascii="Times New Roman" w:hAnsi="Times New Roman" w:eastAsia="宋体" w:cs="Times New Roman"/>
                <w:szCs w:val="21"/>
              </w:rPr>
              <w:t>9、</w:t>
            </w:r>
            <w:r>
              <w:rPr>
                <w:rFonts w:ascii="Times New Roman" w:hAnsi="Times New Roman" w:eastAsia="宋体" w:cs="Times New Roman"/>
                <w:szCs w:val="21"/>
                <w:lang w:val="zh-CN"/>
              </w:rPr>
              <w:t>100067</w:t>
            </w:r>
          </w:p>
        </w:tc>
        <w:tc>
          <w:tcPr>
            <w:tcW w:w="851" w:type="dxa"/>
            <w:tcBorders>
              <w:top w:val="single" w:color="000000" w:sz="8" w:space="0"/>
              <w:left w:val="nil"/>
              <w:bottom w:val="single" w:color="auto" w:sz="4" w:space="0"/>
              <w:right w:val="single" w:color="000000" w:sz="4" w:space="0"/>
            </w:tcBorders>
            <w:shd w:val="clear" w:color="auto" w:fill="auto"/>
            <w:vAlign w:val="center"/>
          </w:tcPr>
          <w:p w14:paraId="0F925F19">
            <w:pPr>
              <w:snapToGrid w:val="0"/>
              <w:spacing w:line="360" w:lineRule="auto"/>
              <w:jc w:val="center"/>
              <w:rPr>
                <w:rFonts w:ascii="Times New Roman" w:hAnsi="Times New Roman" w:eastAsia="宋体" w:cs="Times New Roman"/>
                <w:szCs w:val="21"/>
                <w:lang w:val="en-GB"/>
              </w:rPr>
            </w:pPr>
            <w:r>
              <w:rPr>
                <w:rFonts w:hint="eastAsia" w:ascii="Times New Roman" w:hAnsi="Times New Roman" w:eastAsia="宋体" w:cs="Times New Roman"/>
                <w:szCs w:val="21"/>
              </w:rPr>
              <w:t>江西农业大学</w:t>
            </w:r>
          </w:p>
        </w:tc>
        <w:tc>
          <w:tcPr>
            <w:tcW w:w="992" w:type="dxa"/>
            <w:tcBorders>
              <w:top w:val="single" w:color="000000" w:sz="8" w:space="0"/>
              <w:left w:val="nil"/>
              <w:bottom w:val="single" w:color="000000" w:sz="4" w:space="0"/>
              <w:right w:val="single" w:color="000000" w:sz="4" w:space="0"/>
            </w:tcBorders>
            <w:vAlign w:val="center"/>
          </w:tcPr>
          <w:p w14:paraId="1C756721">
            <w:pPr>
              <w:snapToGrid w:val="0"/>
              <w:spacing w:line="360" w:lineRule="auto"/>
              <w:jc w:val="center"/>
              <w:rPr>
                <w:rFonts w:ascii="Times New Roman" w:hAnsi="Times New Roman" w:eastAsia="宋体" w:cs="Times New Roman"/>
                <w:szCs w:val="21"/>
              </w:rPr>
            </w:pPr>
            <w:r>
              <w:rPr>
                <w:rFonts w:hint="eastAsia" w:ascii="Times New Roman" w:hAnsi="Times New Roman" w:eastAsia="宋体" w:cs="Times New Roman"/>
                <w:szCs w:val="21"/>
              </w:rPr>
              <w:t>陈伏生</w:t>
            </w:r>
          </w:p>
        </w:tc>
        <w:tc>
          <w:tcPr>
            <w:tcW w:w="1417" w:type="dxa"/>
            <w:tcBorders>
              <w:top w:val="single" w:color="000000" w:sz="8" w:space="0"/>
              <w:left w:val="single" w:color="000000" w:sz="4" w:space="0"/>
              <w:bottom w:val="single" w:color="000000" w:sz="4" w:space="0"/>
              <w:right w:val="single" w:color="000000" w:sz="4" w:space="0"/>
            </w:tcBorders>
            <w:shd w:val="clear" w:color="auto" w:fill="auto"/>
            <w:vAlign w:val="center"/>
          </w:tcPr>
          <w:p w14:paraId="191DEDF9">
            <w:pPr>
              <w:snapToGrid w:val="0"/>
              <w:spacing w:line="360" w:lineRule="auto"/>
              <w:jc w:val="center"/>
              <w:rPr>
                <w:rFonts w:ascii="Times New Roman" w:hAnsi="Times New Roman" w:eastAsia="宋体" w:cs="Times New Roman"/>
                <w:szCs w:val="21"/>
                <w:lang w:val="en-GB"/>
              </w:rPr>
            </w:pPr>
            <w:r>
              <w:rPr>
                <w:rFonts w:hint="eastAsia" w:ascii="Times New Roman" w:hAnsi="Times New Roman" w:eastAsia="宋体" w:cs="Times New Roman"/>
                <w:szCs w:val="21"/>
              </w:rPr>
              <w:t>林勇</w:t>
            </w:r>
            <w:r>
              <w:rPr>
                <w:rFonts w:ascii="Times New Roman" w:hAnsi="Times New Roman" w:eastAsia="宋体" w:cs="Times New Roman"/>
                <w:szCs w:val="21"/>
                <w:lang w:val="en-GB"/>
              </w:rPr>
              <w:t xml:space="preserve">, </w:t>
            </w:r>
            <w:r>
              <w:rPr>
                <w:rFonts w:hint="eastAsia" w:ascii="Times New Roman" w:hAnsi="Times New Roman" w:eastAsia="宋体" w:cs="Times New Roman"/>
                <w:szCs w:val="21"/>
              </w:rPr>
              <w:t>夏成康</w:t>
            </w:r>
            <w:r>
              <w:rPr>
                <w:rFonts w:ascii="Times New Roman" w:hAnsi="Times New Roman" w:eastAsia="宋体" w:cs="Times New Roman"/>
                <w:szCs w:val="21"/>
                <w:lang w:val="en-GB"/>
              </w:rPr>
              <w:t xml:space="preserve">, </w:t>
            </w:r>
            <w:r>
              <w:rPr>
                <w:rFonts w:hint="eastAsia" w:ascii="Times New Roman" w:hAnsi="Times New Roman" w:eastAsia="宋体" w:cs="Times New Roman"/>
                <w:szCs w:val="21"/>
              </w:rPr>
              <w:t>吴高洋</w:t>
            </w:r>
            <w:r>
              <w:rPr>
                <w:rFonts w:ascii="Times New Roman" w:hAnsi="Times New Roman" w:eastAsia="宋体" w:cs="Times New Roman"/>
                <w:szCs w:val="21"/>
                <w:lang w:val="en-GB"/>
              </w:rPr>
              <w:t xml:space="preserve">, </w:t>
            </w:r>
            <w:r>
              <w:rPr>
                <w:rFonts w:hint="eastAsia" w:ascii="Times New Roman" w:hAnsi="Times New Roman" w:eastAsia="宋体" w:cs="Times New Roman"/>
                <w:szCs w:val="21"/>
              </w:rPr>
              <w:t>王晟楠</w:t>
            </w:r>
            <w:r>
              <w:rPr>
                <w:rFonts w:ascii="Times New Roman" w:hAnsi="Times New Roman" w:eastAsia="宋体" w:cs="Times New Roman"/>
                <w:szCs w:val="21"/>
                <w:lang w:val="en-GB"/>
              </w:rPr>
              <w:t xml:space="preserve">, </w:t>
            </w:r>
            <w:r>
              <w:rPr>
                <w:rFonts w:hint="eastAsia" w:ascii="Times New Roman" w:hAnsi="Times New Roman" w:eastAsia="宋体" w:cs="Times New Roman"/>
                <w:szCs w:val="21"/>
              </w:rPr>
              <w:t>刘苑秋</w:t>
            </w:r>
            <w:r>
              <w:rPr>
                <w:rFonts w:ascii="Times New Roman" w:hAnsi="Times New Roman" w:eastAsia="宋体" w:cs="Times New Roman"/>
                <w:szCs w:val="21"/>
                <w:lang w:val="en-GB"/>
              </w:rPr>
              <w:t xml:space="preserve">, </w:t>
            </w:r>
            <w:r>
              <w:rPr>
                <w:rFonts w:hint="eastAsia" w:ascii="Times New Roman" w:hAnsi="Times New Roman" w:eastAsia="宋体" w:cs="Times New Roman"/>
                <w:szCs w:val="21"/>
              </w:rPr>
              <w:t>陈伏生</w:t>
            </w:r>
            <w:r>
              <w:rPr>
                <w:rFonts w:ascii="Times New Roman" w:hAnsi="Times New Roman" w:eastAsia="宋体" w:cs="Times New Roman"/>
                <w:szCs w:val="21"/>
                <w:lang w:val="en-GB"/>
              </w:rPr>
              <w:t>*</w:t>
            </w:r>
          </w:p>
        </w:tc>
        <w:tc>
          <w:tcPr>
            <w:tcW w:w="844" w:type="dxa"/>
            <w:tcBorders>
              <w:top w:val="single" w:color="000000" w:sz="8" w:space="0"/>
              <w:left w:val="nil"/>
              <w:bottom w:val="single" w:color="000000" w:sz="4" w:space="0"/>
              <w:right w:val="single" w:color="000000" w:sz="8" w:space="0"/>
            </w:tcBorders>
            <w:shd w:val="clear" w:color="auto" w:fill="auto"/>
            <w:vAlign w:val="center"/>
          </w:tcPr>
          <w:p w14:paraId="014DA983">
            <w:pPr>
              <w:snapToGrid w:val="0"/>
              <w:spacing w:line="360" w:lineRule="auto"/>
              <w:jc w:val="center"/>
              <w:rPr>
                <w:rFonts w:ascii="Times New Roman" w:hAnsi="Times New Roman" w:eastAsia="宋体" w:cs="Times New Roman"/>
                <w:szCs w:val="21"/>
              </w:rPr>
            </w:pPr>
            <w:r>
              <w:rPr>
                <w:rFonts w:hint="eastAsia" w:ascii="Times New Roman" w:hAnsi="Times New Roman" w:eastAsia="宋体" w:cs="Times New Roman"/>
                <w:szCs w:val="21"/>
              </w:rPr>
              <w:t>SCI</w:t>
            </w:r>
          </w:p>
        </w:tc>
      </w:tr>
      <w:tr w14:paraId="716EC0B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250" w:hRule="atLeast"/>
          <w:jc w:val="center"/>
        </w:trPr>
        <w:tc>
          <w:tcPr>
            <w:tcW w:w="2664" w:type="dxa"/>
            <w:tcBorders>
              <w:top w:val="single" w:color="auto" w:sz="4" w:space="0"/>
              <w:left w:val="single" w:color="auto" w:sz="4" w:space="0"/>
              <w:bottom w:val="single" w:color="auto" w:sz="4" w:space="0"/>
              <w:right w:val="single" w:color="auto" w:sz="4" w:space="0"/>
            </w:tcBorders>
            <w:shd w:val="clear" w:color="auto" w:fill="auto"/>
            <w:vAlign w:val="center"/>
          </w:tcPr>
          <w:p w14:paraId="7D235D44">
            <w:pPr>
              <w:snapToGrid w:val="0"/>
              <w:spacing w:line="360" w:lineRule="auto"/>
              <w:jc w:val="center"/>
              <w:rPr>
                <w:rFonts w:ascii="Times New Roman" w:hAnsi="Times New Roman" w:eastAsia="宋体" w:cs="Times New Roman"/>
                <w:szCs w:val="21"/>
                <w:lang w:val="en-GB"/>
              </w:rPr>
            </w:pPr>
            <w:r>
              <w:rPr>
                <w:rFonts w:ascii="Times New Roman" w:hAnsi="Times New Roman" w:eastAsia="宋体" w:cs="Times New Roman"/>
                <w:szCs w:val="21"/>
              </w:rPr>
              <w:t>Phosphorus addition regulates the growth of Chinese fir by changing needle nitrogen fractions in growing and dormant seasons</w:t>
            </w:r>
          </w:p>
        </w:tc>
        <w:tc>
          <w:tcPr>
            <w:tcW w:w="1135" w:type="dxa"/>
            <w:tcBorders>
              <w:top w:val="single" w:color="auto" w:sz="4" w:space="0"/>
              <w:left w:val="single" w:color="auto" w:sz="4" w:space="0"/>
              <w:bottom w:val="single" w:color="auto" w:sz="4" w:space="0"/>
              <w:right w:val="single" w:color="auto" w:sz="4" w:space="0"/>
            </w:tcBorders>
            <w:shd w:val="clear" w:color="auto" w:fill="auto"/>
            <w:vAlign w:val="center"/>
          </w:tcPr>
          <w:p w14:paraId="71C9FD09">
            <w:pPr>
              <w:snapToGrid w:val="0"/>
              <w:spacing w:line="360" w:lineRule="auto"/>
              <w:jc w:val="center"/>
              <w:rPr>
                <w:rFonts w:ascii="Times New Roman" w:hAnsi="Times New Roman" w:eastAsia="宋体" w:cs="Times New Roman"/>
                <w:szCs w:val="21"/>
              </w:rPr>
            </w:pPr>
            <w:r>
              <w:rPr>
                <w:rFonts w:ascii="Times New Roman" w:hAnsi="Times New Roman" w:eastAsia="宋体" w:cs="Times New Roman"/>
                <w:szCs w:val="21"/>
              </w:rPr>
              <w:t>Science of the Total Environment</w:t>
            </w:r>
          </w:p>
        </w:tc>
        <w:tc>
          <w:tcPr>
            <w:tcW w:w="552" w:type="dxa"/>
            <w:tcBorders>
              <w:top w:val="single" w:color="auto" w:sz="4" w:space="0"/>
              <w:left w:val="single" w:color="auto" w:sz="4" w:space="0"/>
              <w:bottom w:val="single" w:color="auto" w:sz="4" w:space="0"/>
              <w:right w:val="single" w:color="auto" w:sz="4" w:space="0"/>
            </w:tcBorders>
            <w:shd w:val="clear" w:color="auto" w:fill="auto"/>
            <w:vAlign w:val="center"/>
          </w:tcPr>
          <w:p w14:paraId="0D0A68B4">
            <w:pPr>
              <w:snapToGrid w:val="0"/>
              <w:spacing w:line="360" w:lineRule="auto"/>
              <w:jc w:val="center"/>
              <w:rPr>
                <w:rFonts w:ascii="Times New Roman" w:hAnsi="Times New Roman" w:eastAsia="宋体" w:cs="Times New Roman"/>
                <w:szCs w:val="21"/>
              </w:rPr>
            </w:pPr>
            <w:r>
              <w:rPr>
                <w:rFonts w:hint="eastAsia" w:ascii="Times New Roman" w:hAnsi="Times New Roman" w:eastAsia="宋体" w:cs="Times New Roman"/>
                <w:szCs w:val="21"/>
              </w:rPr>
              <w:t>2022</w:t>
            </w:r>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14:paraId="0DC147B1">
            <w:pPr>
              <w:snapToGrid w:val="0"/>
              <w:spacing w:line="360" w:lineRule="auto"/>
              <w:jc w:val="center"/>
              <w:rPr>
                <w:rFonts w:ascii="Times New Roman" w:hAnsi="Times New Roman" w:eastAsia="宋体" w:cs="Times New Roman"/>
                <w:szCs w:val="21"/>
              </w:rPr>
            </w:pPr>
            <w:r>
              <w:rPr>
                <w:rFonts w:hint="eastAsia" w:ascii="Times New Roman" w:hAnsi="Times New Roman" w:eastAsia="宋体" w:cs="Times New Roman"/>
                <w:szCs w:val="21"/>
              </w:rPr>
              <w:t>852、</w:t>
            </w:r>
            <w:r>
              <w:rPr>
                <w:rFonts w:ascii="Times New Roman" w:hAnsi="Times New Roman" w:eastAsia="宋体" w:cs="Times New Roman"/>
                <w:szCs w:val="21"/>
                <w:lang w:val="zh-CN"/>
              </w:rPr>
              <w:t>158230</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14:paraId="552C319B">
            <w:pPr>
              <w:snapToGrid w:val="0"/>
              <w:spacing w:line="360" w:lineRule="auto"/>
              <w:jc w:val="center"/>
              <w:rPr>
                <w:rFonts w:ascii="Times New Roman" w:hAnsi="Times New Roman" w:eastAsia="宋体" w:cs="Times New Roman"/>
                <w:szCs w:val="21"/>
                <w:lang w:val="zh-CN"/>
              </w:rPr>
            </w:pPr>
            <w:r>
              <w:rPr>
                <w:rFonts w:hint="eastAsia" w:ascii="Times New Roman" w:hAnsi="Times New Roman" w:eastAsia="宋体" w:cs="Times New Roman"/>
                <w:szCs w:val="21"/>
              </w:rPr>
              <w:t>南昌大学</w:t>
            </w:r>
          </w:p>
        </w:tc>
        <w:tc>
          <w:tcPr>
            <w:tcW w:w="992" w:type="dxa"/>
            <w:tcBorders>
              <w:top w:val="single" w:color="000000" w:sz="4" w:space="0"/>
              <w:left w:val="single" w:color="auto" w:sz="4" w:space="0"/>
              <w:bottom w:val="single" w:color="auto" w:sz="4" w:space="0"/>
              <w:right w:val="single" w:color="auto" w:sz="4" w:space="0"/>
            </w:tcBorders>
            <w:vAlign w:val="center"/>
          </w:tcPr>
          <w:p w14:paraId="4471CAF5">
            <w:pPr>
              <w:snapToGrid w:val="0"/>
              <w:spacing w:line="360" w:lineRule="auto"/>
              <w:jc w:val="center"/>
              <w:rPr>
                <w:rFonts w:ascii="Times New Roman" w:hAnsi="Times New Roman" w:eastAsia="宋体" w:cs="Times New Roman"/>
                <w:szCs w:val="21"/>
              </w:rPr>
            </w:pPr>
            <w:r>
              <w:rPr>
                <w:rFonts w:hint="eastAsia" w:ascii="Times New Roman" w:hAnsi="Times New Roman" w:eastAsia="宋体" w:cs="Times New Roman"/>
                <w:szCs w:val="21"/>
              </w:rPr>
              <w:t>胡小飞陈伏生</w:t>
            </w:r>
          </w:p>
        </w:tc>
        <w:tc>
          <w:tcPr>
            <w:tcW w:w="1417" w:type="dxa"/>
            <w:tcBorders>
              <w:top w:val="single" w:color="000000" w:sz="4" w:space="0"/>
              <w:left w:val="single" w:color="auto" w:sz="4" w:space="0"/>
              <w:bottom w:val="single" w:color="auto" w:sz="4" w:space="0"/>
              <w:right w:val="single" w:color="auto" w:sz="4" w:space="0"/>
            </w:tcBorders>
            <w:shd w:val="clear" w:color="auto" w:fill="auto"/>
            <w:vAlign w:val="center"/>
          </w:tcPr>
          <w:p w14:paraId="5014873E">
            <w:pPr>
              <w:snapToGrid w:val="0"/>
              <w:spacing w:line="360" w:lineRule="auto"/>
              <w:jc w:val="center"/>
              <w:rPr>
                <w:rFonts w:ascii="Times New Roman" w:hAnsi="Times New Roman" w:eastAsia="宋体" w:cs="Times New Roman"/>
                <w:szCs w:val="21"/>
                <w:lang w:val="en-GB"/>
              </w:rPr>
            </w:pPr>
            <w:r>
              <w:rPr>
                <w:rFonts w:hint="eastAsia" w:ascii="Times New Roman" w:hAnsi="Times New Roman" w:eastAsia="宋体" w:cs="Times New Roman"/>
                <w:szCs w:val="21"/>
              </w:rPr>
              <w:t>王方超</w:t>
            </w:r>
            <w:r>
              <w:rPr>
                <w:rFonts w:ascii="Times New Roman" w:hAnsi="Times New Roman" w:eastAsia="宋体" w:cs="Times New Roman"/>
                <w:szCs w:val="21"/>
                <w:lang w:val="en-GB"/>
              </w:rPr>
              <w:t xml:space="preserve">, </w:t>
            </w:r>
            <w:r>
              <w:rPr>
                <w:rFonts w:hint="eastAsia" w:ascii="Times New Roman" w:hAnsi="Times New Roman" w:eastAsia="宋体" w:cs="Times New Roman"/>
                <w:szCs w:val="21"/>
              </w:rPr>
              <w:t>陈伏生</w:t>
            </w:r>
            <w:r>
              <w:rPr>
                <w:rFonts w:ascii="Times New Roman" w:hAnsi="Times New Roman" w:eastAsia="宋体" w:cs="Times New Roman"/>
                <w:szCs w:val="21"/>
                <w:lang w:val="en-GB"/>
              </w:rPr>
              <w:t xml:space="preserve">*, </w:t>
            </w:r>
            <w:r>
              <w:rPr>
                <w:rFonts w:hint="eastAsia" w:ascii="Times New Roman" w:hAnsi="Times New Roman" w:eastAsia="宋体" w:cs="Times New Roman"/>
                <w:szCs w:val="21"/>
              </w:rPr>
              <w:t>方向民</w:t>
            </w:r>
            <w:r>
              <w:rPr>
                <w:rFonts w:ascii="Times New Roman" w:hAnsi="Times New Roman" w:eastAsia="宋体" w:cs="Times New Roman"/>
                <w:szCs w:val="21"/>
                <w:lang w:val="en-GB"/>
              </w:rPr>
              <w:t xml:space="preserve">, </w:t>
            </w:r>
            <w:r>
              <w:rPr>
                <w:rFonts w:hint="eastAsia" w:ascii="Times New Roman" w:hAnsi="Times New Roman" w:eastAsia="宋体" w:cs="Times New Roman"/>
                <w:szCs w:val="21"/>
              </w:rPr>
              <w:t>王辉民</w:t>
            </w:r>
            <w:r>
              <w:rPr>
                <w:rFonts w:ascii="Times New Roman" w:hAnsi="Times New Roman" w:eastAsia="宋体" w:cs="Times New Roman"/>
                <w:szCs w:val="21"/>
                <w:lang w:val="en-GB"/>
              </w:rPr>
              <w:t xml:space="preserve">, </w:t>
            </w:r>
            <w:r>
              <w:rPr>
                <w:rFonts w:hint="eastAsia" w:ascii="Times New Roman" w:hAnsi="Times New Roman" w:eastAsia="宋体" w:cs="Times New Roman"/>
                <w:szCs w:val="21"/>
              </w:rPr>
              <w:t>胡小飞</w:t>
            </w:r>
            <w:r>
              <w:rPr>
                <w:rFonts w:ascii="Times New Roman" w:hAnsi="Times New Roman" w:eastAsia="宋体" w:cs="Times New Roman"/>
                <w:szCs w:val="21"/>
                <w:lang w:val="en-GB"/>
              </w:rPr>
              <w:t>*</w:t>
            </w:r>
          </w:p>
        </w:tc>
        <w:tc>
          <w:tcPr>
            <w:tcW w:w="844" w:type="dxa"/>
            <w:tcBorders>
              <w:top w:val="single" w:color="000000" w:sz="4" w:space="0"/>
              <w:left w:val="single" w:color="auto" w:sz="4" w:space="0"/>
              <w:bottom w:val="single" w:color="000000" w:sz="4" w:space="0"/>
              <w:right w:val="single" w:color="000000" w:sz="8" w:space="0"/>
            </w:tcBorders>
            <w:shd w:val="clear" w:color="auto" w:fill="auto"/>
            <w:vAlign w:val="center"/>
          </w:tcPr>
          <w:p w14:paraId="16BF9DE1">
            <w:pPr>
              <w:snapToGrid w:val="0"/>
              <w:spacing w:line="360" w:lineRule="auto"/>
              <w:jc w:val="center"/>
              <w:rPr>
                <w:rFonts w:ascii="Times New Roman" w:hAnsi="Times New Roman" w:eastAsia="宋体" w:cs="Times New Roman"/>
                <w:szCs w:val="21"/>
              </w:rPr>
            </w:pPr>
            <w:r>
              <w:rPr>
                <w:rFonts w:hint="eastAsia" w:ascii="Times New Roman" w:hAnsi="Times New Roman" w:eastAsia="宋体" w:cs="Times New Roman"/>
                <w:szCs w:val="21"/>
              </w:rPr>
              <w:t>SCI</w:t>
            </w:r>
          </w:p>
        </w:tc>
      </w:tr>
      <w:tr w14:paraId="304D18D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250" w:hRule="atLeast"/>
          <w:jc w:val="center"/>
        </w:trPr>
        <w:tc>
          <w:tcPr>
            <w:tcW w:w="2664" w:type="dxa"/>
            <w:tcBorders>
              <w:top w:val="single" w:color="auto" w:sz="4" w:space="0"/>
              <w:left w:val="single" w:color="auto" w:sz="4" w:space="0"/>
              <w:bottom w:val="single" w:color="auto" w:sz="4" w:space="0"/>
              <w:right w:val="single" w:color="auto" w:sz="4" w:space="0"/>
            </w:tcBorders>
            <w:shd w:val="clear" w:color="auto" w:fill="auto"/>
            <w:vAlign w:val="center"/>
          </w:tcPr>
          <w:p w14:paraId="53746081">
            <w:pPr>
              <w:snapToGrid w:val="0"/>
              <w:spacing w:line="360" w:lineRule="auto"/>
              <w:jc w:val="center"/>
              <w:rPr>
                <w:rFonts w:ascii="Times New Roman" w:hAnsi="Times New Roman" w:eastAsia="宋体" w:cs="Times New Roman"/>
                <w:szCs w:val="21"/>
                <w:lang w:val="en-GB"/>
              </w:rPr>
            </w:pPr>
            <w:r>
              <w:rPr>
                <w:rFonts w:ascii="Times New Roman" w:hAnsi="Times New Roman" w:eastAsia="宋体" w:cs="Times New Roman"/>
                <w:szCs w:val="21"/>
              </w:rPr>
              <w:t>Aboveground litter input alters the effects of understory vegetation removal on soil microbial communities and enzyme activities along a 60-cm profile in a subtropical plantation forest</w:t>
            </w:r>
          </w:p>
        </w:tc>
        <w:tc>
          <w:tcPr>
            <w:tcW w:w="1135" w:type="dxa"/>
            <w:tcBorders>
              <w:top w:val="single" w:color="auto" w:sz="4" w:space="0"/>
              <w:left w:val="single" w:color="auto" w:sz="4" w:space="0"/>
              <w:bottom w:val="single" w:color="auto" w:sz="4" w:space="0"/>
              <w:right w:val="single" w:color="auto" w:sz="4" w:space="0"/>
            </w:tcBorders>
            <w:shd w:val="clear" w:color="auto" w:fill="auto"/>
            <w:vAlign w:val="center"/>
          </w:tcPr>
          <w:p w14:paraId="26ADACCE">
            <w:pPr>
              <w:snapToGrid w:val="0"/>
              <w:spacing w:line="360" w:lineRule="auto"/>
              <w:jc w:val="center"/>
              <w:rPr>
                <w:rFonts w:ascii="Times New Roman" w:hAnsi="Times New Roman" w:eastAsia="宋体" w:cs="Times New Roman"/>
                <w:szCs w:val="21"/>
                <w:lang w:val="zh-CN"/>
              </w:rPr>
            </w:pPr>
            <w:r>
              <w:rPr>
                <w:rFonts w:ascii="Times New Roman" w:hAnsi="Times New Roman" w:eastAsia="宋体" w:cs="Times New Roman"/>
                <w:szCs w:val="21"/>
              </w:rPr>
              <w:t>Applied Soil Ecology</w:t>
            </w:r>
          </w:p>
        </w:tc>
        <w:tc>
          <w:tcPr>
            <w:tcW w:w="552" w:type="dxa"/>
            <w:tcBorders>
              <w:top w:val="single" w:color="auto" w:sz="4" w:space="0"/>
              <w:left w:val="single" w:color="auto" w:sz="4" w:space="0"/>
              <w:bottom w:val="single" w:color="auto" w:sz="4" w:space="0"/>
              <w:right w:val="single" w:color="auto" w:sz="4" w:space="0"/>
            </w:tcBorders>
            <w:shd w:val="clear" w:color="auto" w:fill="auto"/>
            <w:vAlign w:val="center"/>
          </w:tcPr>
          <w:p w14:paraId="00CDBE6A">
            <w:pPr>
              <w:snapToGrid w:val="0"/>
              <w:spacing w:line="360" w:lineRule="auto"/>
              <w:jc w:val="center"/>
              <w:rPr>
                <w:rFonts w:ascii="Times New Roman" w:hAnsi="Times New Roman" w:eastAsia="宋体" w:cs="Times New Roman"/>
                <w:szCs w:val="21"/>
              </w:rPr>
            </w:pPr>
            <w:r>
              <w:rPr>
                <w:rFonts w:hint="eastAsia" w:ascii="Times New Roman" w:hAnsi="Times New Roman" w:eastAsia="宋体" w:cs="Times New Roman"/>
                <w:szCs w:val="21"/>
              </w:rPr>
              <w:t>2022</w:t>
            </w:r>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14:paraId="743A321E">
            <w:pPr>
              <w:snapToGrid w:val="0"/>
              <w:spacing w:line="360" w:lineRule="auto"/>
              <w:jc w:val="center"/>
              <w:rPr>
                <w:rFonts w:ascii="Times New Roman" w:hAnsi="Times New Roman" w:eastAsia="宋体" w:cs="Times New Roman"/>
                <w:szCs w:val="21"/>
              </w:rPr>
            </w:pPr>
            <w:r>
              <w:rPr>
                <w:rFonts w:hint="eastAsia" w:ascii="Times New Roman" w:hAnsi="Times New Roman" w:eastAsia="宋体" w:cs="Times New Roman"/>
                <w:szCs w:val="21"/>
              </w:rPr>
              <w:t>176、</w:t>
            </w:r>
            <w:r>
              <w:rPr>
                <w:rFonts w:ascii="Times New Roman" w:hAnsi="Times New Roman" w:eastAsia="宋体" w:cs="Times New Roman"/>
                <w:szCs w:val="21"/>
                <w:lang w:val="zh-CN"/>
              </w:rPr>
              <w:t>104489</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14:paraId="0D892588">
            <w:pPr>
              <w:snapToGrid w:val="0"/>
              <w:spacing w:line="360" w:lineRule="auto"/>
              <w:jc w:val="center"/>
              <w:rPr>
                <w:rFonts w:ascii="Times New Roman" w:hAnsi="Times New Roman" w:eastAsia="宋体" w:cs="Times New Roman"/>
                <w:szCs w:val="21"/>
                <w:lang w:val="zh-CN"/>
              </w:rPr>
            </w:pPr>
            <w:r>
              <w:rPr>
                <w:rFonts w:hint="eastAsia" w:ascii="Times New Roman" w:hAnsi="Times New Roman" w:eastAsia="宋体" w:cs="Times New Roman"/>
                <w:szCs w:val="21"/>
              </w:rPr>
              <w:t>江西农业大学</w:t>
            </w:r>
          </w:p>
        </w:tc>
        <w:tc>
          <w:tcPr>
            <w:tcW w:w="992" w:type="dxa"/>
            <w:tcBorders>
              <w:top w:val="single" w:color="auto" w:sz="4" w:space="0"/>
              <w:left w:val="single" w:color="auto" w:sz="4" w:space="0"/>
              <w:bottom w:val="single" w:color="auto" w:sz="4" w:space="0"/>
              <w:right w:val="single" w:color="auto" w:sz="4" w:space="0"/>
            </w:tcBorders>
            <w:vAlign w:val="center"/>
          </w:tcPr>
          <w:p w14:paraId="3248B494">
            <w:pPr>
              <w:snapToGrid w:val="0"/>
              <w:spacing w:line="360" w:lineRule="auto"/>
              <w:jc w:val="center"/>
              <w:rPr>
                <w:rFonts w:ascii="Times New Roman" w:hAnsi="Times New Roman" w:eastAsia="宋体" w:cs="Times New Roman"/>
                <w:szCs w:val="21"/>
              </w:rPr>
            </w:pPr>
            <w:r>
              <w:rPr>
                <w:rFonts w:hint="eastAsia" w:ascii="Times New Roman" w:hAnsi="Times New Roman" w:eastAsia="宋体" w:cs="Times New Roman"/>
                <w:szCs w:val="21"/>
              </w:rPr>
              <w:t>陈伏生</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14:paraId="2EAA164B">
            <w:pPr>
              <w:snapToGrid w:val="0"/>
              <w:spacing w:line="360" w:lineRule="auto"/>
              <w:jc w:val="center"/>
              <w:rPr>
                <w:rFonts w:ascii="Times New Roman" w:hAnsi="Times New Roman" w:eastAsia="宋体" w:cs="Times New Roman"/>
                <w:szCs w:val="21"/>
                <w:lang w:val="zh-CN"/>
              </w:rPr>
            </w:pPr>
            <w:r>
              <w:rPr>
                <w:rFonts w:hint="eastAsia" w:ascii="Times New Roman" w:hAnsi="Times New Roman" w:eastAsia="宋体" w:cs="Times New Roman"/>
                <w:szCs w:val="21"/>
              </w:rPr>
              <w:t>刘俏</w:t>
            </w:r>
            <w:r>
              <w:rPr>
                <w:rFonts w:ascii="Times New Roman" w:hAnsi="Times New Roman" w:eastAsia="宋体" w:cs="Times New Roman"/>
                <w:szCs w:val="21"/>
              </w:rPr>
              <w:t xml:space="preserve">, </w:t>
            </w:r>
            <w:r>
              <w:rPr>
                <w:rFonts w:hint="eastAsia" w:ascii="Times New Roman" w:hAnsi="Times New Roman" w:eastAsia="宋体" w:cs="Times New Roman"/>
                <w:szCs w:val="21"/>
              </w:rPr>
              <w:t>王方超</w:t>
            </w:r>
            <w:r>
              <w:rPr>
                <w:rFonts w:ascii="Times New Roman" w:hAnsi="Times New Roman" w:eastAsia="宋体" w:cs="Times New Roman"/>
                <w:szCs w:val="21"/>
              </w:rPr>
              <w:t xml:space="preserve">, </w:t>
            </w:r>
            <w:r>
              <w:rPr>
                <w:rFonts w:hint="eastAsia" w:ascii="Times New Roman" w:hAnsi="Times New Roman" w:eastAsia="宋体" w:cs="Times New Roman"/>
                <w:szCs w:val="21"/>
              </w:rPr>
              <w:t>刘仁</w:t>
            </w:r>
            <w:r>
              <w:rPr>
                <w:rFonts w:ascii="Times New Roman" w:hAnsi="Times New Roman" w:eastAsia="宋体" w:cs="Times New Roman"/>
                <w:szCs w:val="21"/>
              </w:rPr>
              <w:t xml:space="preserve">, </w:t>
            </w:r>
            <w:r>
              <w:rPr>
                <w:rFonts w:hint="eastAsia" w:ascii="Times New Roman" w:hAnsi="Times New Roman" w:eastAsia="宋体" w:cs="Times New Roman"/>
                <w:szCs w:val="21"/>
              </w:rPr>
              <w:t>胡小飞</w:t>
            </w:r>
            <w:r>
              <w:rPr>
                <w:rFonts w:ascii="Times New Roman" w:hAnsi="Times New Roman" w:eastAsia="宋体" w:cs="Times New Roman"/>
                <w:szCs w:val="21"/>
              </w:rPr>
              <w:t xml:space="preserve">, </w:t>
            </w:r>
            <w:r>
              <w:rPr>
                <w:rFonts w:hint="eastAsia" w:ascii="Times New Roman" w:hAnsi="Times New Roman" w:eastAsia="宋体" w:cs="Times New Roman"/>
                <w:szCs w:val="21"/>
              </w:rPr>
              <w:t>王辉民</w:t>
            </w:r>
            <w:r>
              <w:rPr>
                <w:rFonts w:ascii="Times New Roman" w:hAnsi="Times New Roman" w:eastAsia="宋体" w:cs="Times New Roman"/>
                <w:szCs w:val="21"/>
              </w:rPr>
              <w:t xml:space="preserve">, </w:t>
            </w:r>
            <w:r>
              <w:rPr>
                <w:rFonts w:hint="eastAsia" w:ascii="Times New Roman" w:hAnsi="Times New Roman" w:eastAsia="宋体" w:cs="Times New Roman"/>
                <w:szCs w:val="21"/>
              </w:rPr>
              <w:t>陈伏生</w:t>
            </w:r>
            <w:r>
              <w:rPr>
                <w:rFonts w:ascii="Times New Roman" w:hAnsi="Times New Roman" w:eastAsia="宋体" w:cs="Times New Roman"/>
                <w:szCs w:val="21"/>
              </w:rPr>
              <w:t>*</w:t>
            </w:r>
          </w:p>
        </w:tc>
        <w:tc>
          <w:tcPr>
            <w:tcW w:w="844" w:type="dxa"/>
            <w:tcBorders>
              <w:top w:val="single" w:color="000000" w:sz="4" w:space="0"/>
              <w:left w:val="single" w:color="auto" w:sz="4" w:space="0"/>
              <w:bottom w:val="single" w:color="000000" w:sz="4" w:space="0"/>
              <w:right w:val="single" w:color="000000" w:sz="8" w:space="0"/>
            </w:tcBorders>
            <w:shd w:val="clear" w:color="auto" w:fill="auto"/>
            <w:vAlign w:val="center"/>
          </w:tcPr>
          <w:p w14:paraId="721CC6EB">
            <w:pPr>
              <w:snapToGrid w:val="0"/>
              <w:spacing w:line="360" w:lineRule="auto"/>
              <w:jc w:val="center"/>
              <w:rPr>
                <w:rFonts w:ascii="Times New Roman" w:hAnsi="Times New Roman" w:eastAsia="宋体" w:cs="Times New Roman"/>
                <w:szCs w:val="21"/>
              </w:rPr>
            </w:pPr>
            <w:r>
              <w:rPr>
                <w:rFonts w:hint="eastAsia" w:ascii="Times New Roman" w:hAnsi="Times New Roman" w:eastAsia="宋体" w:cs="Times New Roman"/>
                <w:szCs w:val="21"/>
              </w:rPr>
              <w:t>SCI</w:t>
            </w:r>
          </w:p>
        </w:tc>
      </w:tr>
      <w:tr w14:paraId="3028B19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250" w:hRule="atLeast"/>
          <w:jc w:val="center"/>
        </w:trPr>
        <w:tc>
          <w:tcPr>
            <w:tcW w:w="2664" w:type="dxa"/>
            <w:tcBorders>
              <w:top w:val="single" w:color="auto" w:sz="4" w:space="0"/>
              <w:left w:val="single" w:color="auto" w:sz="4" w:space="0"/>
              <w:bottom w:val="single" w:color="auto" w:sz="4" w:space="0"/>
              <w:right w:val="single" w:color="auto" w:sz="4" w:space="0"/>
            </w:tcBorders>
            <w:shd w:val="clear" w:color="auto" w:fill="auto"/>
            <w:vAlign w:val="center"/>
          </w:tcPr>
          <w:p w14:paraId="37633E66">
            <w:pPr>
              <w:snapToGrid w:val="0"/>
              <w:spacing w:line="360" w:lineRule="auto"/>
              <w:jc w:val="center"/>
              <w:rPr>
                <w:rFonts w:ascii="Times New Roman" w:hAnsi="Times New Roman" w:eastAsia="宋体" w:cs="Times New Roman"/>
                <w:szCs w:val="21"/>
                <w:lang w:val="en-GB"/>
              </w:rPr>
            </w:pPr>
            <w:r>
              <w:rPr>
                <w:rFonts w:ascii="Times New Roman" w:hAnsi="Times New Roman" w:eastAsia="宋体" w:cs="Times New Roman"/>
                <w:szCs w:val="21"/>
              </w:rPr>
              <w:t>The contrasting effects of nitrogen and phosphorus fertilizations on the growth of Cunninghamia lanceolata depend on the season in subtropical China</w:t>
            </w:r>
          </w:p>
        </w:tc>
        <w:tc>
          <w:tcPr>
            <w:tcW w:w="1135" w:type="dxa"/>
            <w:tcBorders>
              <w:top w:val="single" w:color="auto" w:sz="4" w:space="0"/>
              <w:left w:val="single" w:color="auto" w:sz="4" w:space="0"/>
              <w:bottom w:val="single" w:color="auto" w:sz="4" w:space="0"/>
              <w:right w:val="single" w:color="auto" w:sz="4" w:space="0"/>
            </w:tcBorders>
            <w:shd w:val="clear" w:color="auto" w:fill="auto"/>
            <w:vAlign w:val="center"/>
          </w:tcPr>
          <w:p w14:paraId="5062A256">
            <w:pPr>
              <w:snapToGrid w:val="0"/>
              <w:spacing w:line="360" w:lineRule="auto"/>
              <w:jc w:val="center"/>
              <w:rPr>
                <w:rFonts w:ascii="Times New Roman" w:hAnsi="Times New Roman" w:eastAsia="宋体" w:cs="Times New Roman"/>
                <w:szCs w:val="21"/>
                <w:lang w:val="zh-CN"/>
              </w:rPr>
            </w:pPr>
            <w:r>
              <w:rPr>
                <w:rFonts w:ascii="Times New Roman" w:hAnsi="Times New Roman" w:eastAsia="宋体" w:cs="Times New Roman"/>
                <w:szCs w:val="21"/>
              </w:rPr>
              <w:t>Forest Ecology and Management</w:t>
            </w:r>
          </w:p>
        </w:tc>
        <w:tc>
          <w:tcPr>
            <w:tcW w:w="552" w:type="dxa"/>
            <w:tcBorders>
              <w:top w:val="single" w:color="auto" w:sz="4" w:space="0"/>
              <w:left w:val="single" w:color="auto" w:sz="4" w:space="0"/>
              <w:bottom w:val="single" w:color="auto" w:sz="4" w:space="0"/>
              <w:right w:val="single" w:color="auto" w:sz="4" w:space="0"/>
            </w:tcBorders>
            <w:shd w:val="clear" w:color="auto" w:fill="auto"/>
            <w:vAlign w:val="center"/>
          </w:tcPr>
          <w:p w14:paraId="32D4B5A1">
            <w:pPr>
              <w:snapToGrid w:val="0"/>
              <w:spacing w:line="360" w:lineRule="auto"/>
              <w:jc w:val="center"/>
              <w:rPr>
                <w:rFonts w:ascii="Times New Roman" w:hAnsi="Times New Roman" w:eastAsia="宋体" w:cs="Times New Roman"/>
                <w:szCs w:val="21"/>
              </w:rPr>
            </w:pPr>
            <w:r>
              <w:rPr>
                <w:rFonts w:hint="eastAsia" w:ascii="Times New Roman" w:hAnsi="Times New Roman" w:eastAsia="宋体" w:cs="Times New Roman"/>
                <w:szCs w:val="21"/>
              </w:rPr>
              <w:t>2021</w:t>
            </w:r>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14:paraId="619BAD06">
            <w:pPr>
              <w:snapToGrid w:val="0"/>
              <w:spacing w:line="360" w:lineRule="auto"/>
              <w:jc w:val="center"/>
              <w:rPr>
                <w:rFonts w:ascii="Times New Roman" w:hAnsi="Times New Roman" w:eastAsia="宋体" w:cs="Times New Roman"/>
                <w:szCs w:val="21"/>
              </w:rPr>
            </w:pPr>
            <w:r>
              <w:rPr>
                <w:rFonts w:hint="eastAsia" w:ascii="Times New Roman" w:hAnsi="Times New Roman" w:eastAsia="宋体" w:cs="Times New Roman"/>
                <w:szCs w:val="21"/>
              </w:rPr>
              <w:t>482、</w:t>
            </w:r>
            <w:r>
              <w:rPr>
                <w:rFonts w:ascii="Times New Roman" w:hAnsi="Times New Roman" w:eastAsia="宋体" w:cs="Times New Roman"/>
                <w:szCs w:val="21"/>
              </w:rPr>
              <w:t>118874</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14:paraId="55798459">
            <w:pPr>
              <w:snapToGrid w:val="0"/>
              <w:spacing w:line="360" w:lineRule="auto"/>
              <w:jc w:val="center"/>
              <w:rPr>
                <w:rFonts w:ascii="Times New Roman" w:hAnsi="Times New Roman" w:eastAsia="宋体" w:cs="Times New Roman"/>
                <w:szCs w:val="21"/>
                <w:lang w:val="zh-CN"/>
              </w:rPr>
            </w:pPr>
            <w:r>
              <w:rPr>
                <w:rFonts w:hint="eastAsia" w:ascii="Times New Roman" w:hAnsi="Times New Roman" w:eastAsia="宋体" w:cs="Times New Roman"/>
                <w:szCs w:val="21"/>
              </w:rPr>
              <w:t>江西农业大学</w:t>
            </w:r>
          </w:p>
        </w:tc>
        <w:tc>
          <w:tcPr>
            <w:tcW w:w="992" w:type="dxa"/>
            <w:tcBorders>
              <w:top w:val="single" w:color="auto" w:sz="4" w:space="0"/>
              <w:left w:val="single" w:color="auto" w:sz="4" w:space="0"/>
              <w:bottom w:val="single" w:color="auto" w:sz="4" w:space="0"/>
              <w:right w:val="single" w:color="auto" w:sz="4" w:space="0"/>
            </w:tcBorders>
            <w:vAlign w:val="center"/>
          </w:tcPr>
          <w:p w14:paraId="2F1C3130">
            <w:pPr>
              <w:snapToGrid w:val="0"/>
              <w:spacing w:line="360" w:lineRule="auto"/>
              <w:jc w:val="center"/>
              <w:rPr>
                <w:rFonts w:ascii="Times New Roman" w:hAnsi="Times New Roman" w:eastAsia="宋体" w:cs="Times New Roman"/>
                <w:szCs w:val="21"/>
              </w:rPr>
            </w:pPr>
            <w:r>
              <w:rPr>
                <w:rFonts w:hint="eastAsia" w:ascii="Times New Roman" w:hAnsi="Times New Roman" w:eastAsia="宋体" w:cs="Times New Roman"/>
                <w:szCs w:val="21"/>
              </w:rPr>
              <w:t>陈伏生</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14:paraId="2087D309">
            <w:pPr>
              <w:snapToGrid w:val="0"/>
              <w:spacing w:line="360" w:lineRule="auto"/>
              <w:jc w:val="center"/>
              <w:rPr>
                <w:rFonts w:ascii="Times New Roman" w:hAnsi="Times New Roman" w:eastAsia="宋体" w:cs="Times New Roman"/>
                <w:szCs w:val="21"/>
                <w:lang w:val="nl-NL"/>
              </w:rPr>
            </w:pPr>
            <w:r>
              <w:rPr>
                <w:rFonts w:hint="eastAsia" w:ascii="Times New Roman" w:hAnsi="Times New Roman" w:eastAsia="宋体" w:cs="Times New Roman"/>
                <w:szCs w:val="21"/>
              </w:rPr>
              <w:t>卜文圣</w:t>
            </w:r>
            <w:r>
              <w:rPr>
                <w:rFonts w:ascii="Times New Roman" w:hAnsi="Times New Roman" w:eastAsia="宋体" w:cs="Times New Roman"/>
                <w:szCs w:val="21"/>
              </w:rPr>
              <w:t xml:space="preserve">, </w:t>
            </w:r>
            <w:r>
              <w:rPr>
                <w:rFonts w:hint="eastAsia" w:ascii="Times New Roman" w:hAnsi="Times New Roman" w:eastAsia="宋体" w:cs="Times New Roman"/>
                <w:szCs w:val="21"/>
              </w:rPr>
              <w:t>王方超</w:t>
            </w:r>
            <w:r>
              <w:rPr>
                <w:rFonts w:ascii="Times New Roman" w:hAnsi="Times New Roman" w:eastAsia="宋体" w:cs="Times New Roman"/>
                <w:szCs w:val="21"/>
              </w:rPr>
              <w:t xml:space="preserve">, </w:t>
            </w:r>
            <w:r>
              <w:rPr>
                <w:rFonts w:hint="eastAsia" w:ascii="Times New Roman" w:hAnsi="Times New Roman" w:eastAsia="宋体" w:cs="Times New Roman"/>
                <w:szCs w:val="21"/>
              </w:rPr>
              <w:t>张参参</w:t>
            </w:r>
            <w:r>
              <w:rPr>
                <w:rFonts w:ascii="Times New Roman" w:hAnsi="Times New Roman" w:eastAsia="宋体" w:cs="Times New Roman"/>
                <w:szCs w:val="21"/>
              </w:rPr>
              <w:t xml:space="preserve">, Bruelheide H, </w:t>
            </w:r>
            <w:r>
              <w:rPr>
                <w:rFonts w:hint="eastAsia" w:ascii="Times New Roman" w:hAnsi="Times New Roman" w:eastAsia="宋体" w:cs="Times New Roman"/>
                <w:szCs w:val="21"/>
              </w:rPr>
              <w:t>方向民</w:t>
            </w:r>
            <w:r>
              <w:rPr>
                <w:rFonts w:ascii="Times New Roman" w:hAnsi="Times New Roman" w:eastAsia="宋体" w:cs="Times New Roman"/>
                <w:szCs w:val="21"/>
              </w:rPr>
              <w:t xml:space="preserve">, </w:t>
            </w:r>
            <w:r>
              <w:rPr>
                <w:rFonts w:hint="eastAsia" w:ascii="Times New Roman" w:hAnsi="Times New Roman" w:eastAsia="宋体" w:cs="Times New Roman"/>
                <w:szCs w:val="21"/>
              </w:rPr>
              <w:t>王辉民</w:t>
            </w:r>
            <w:r>
              <w:rPr>
                <w:rFonts w:ascii="Times New Roman" w:hAnsi="Times New Roman" w:eastAsia="宋体" w:cs="Times New Roman"/>
                <w:szCs w:val="21"/>
              </w:rPr>
              <w:t xml:space="preserve">, </w:t>
            </w:r>
            <w:r>
              <w:rPr>
                <w:rFonts w:hint="eastAsia" w:ascii="Times New Roman" w:hAnsi="Times New Roman" w:eastAsia="宋体" w:cs="Times New Roman"/>
                <w:szCs w:val="21"/>
              </w:rPr>
              <w:t>陈伏生</w:t>
            </w:r>
            <w:r>
              <w:rPr>
                <w:rFonts w:ascii="Times New Roman" w:hAnsi="Times New Roman" w:eastAsia="宋体" w:cs="Times New Roman"/>
                <w:szCs w:val="21"/>
              </w:rPr>
              <w:t>*</w:t>
            </w:r>
          </w:p>
        </w:tc>
        <w:tc>
          <w:tcPr>
            <w:tcW w:w="844" w:type="dxa"/>
            <w:tcBorders>
              <w:top w:val="single" w:color="000000" w:sz="4" w:space="0"/>
              <w:left w:val="single" w:color="auto" w:sz="4" w:space="0"/>
              <w:bottom w:val="single" w:color="000000" w:sz="4" w:space="0"/>
              <w:right w:val="single" w:color="000000" w:sz="8" w:space="0"/>
            </w:tcBorders>
            <w:shd w:val="clear" w:color="auto" w:fill="auto"/>
            <w:vAlign w:val="center"/>
          </w:tcPr>
          <w:p w14:paraId="4DA26F33">
            <w:pPr>
              <w:snapToGrid w:val="0"/>
              <w:spacing w:line="360" w:lineRule="auto"/>
              <w:jc w:val="center"/>
              <w:rPr>
                <w:rFonts w:ascii="Times New Roman" w:hAnsi="Times New Roman" w:eastAsia="宋体" w:cs="Times New Roman"/>
                <w:szCs w:val="21"/>
              </w:rPr>
            </w:pPr>
            <w:r>
              <w:rPr>
                <w:rFonts w:hint="eastAsia" w:ascii="Times New Roman" w:hAnsi="Times New Roman" w:eastAsia="宋体" w:cs="Times New Roman"/>
                <w:szCs w:val="21"/>
              </w:rPr>
              <w:t>SCI</w:t>
            </w:r>
          </w:p>
        </w:tc>
      </w:tr>
      <w:tr w14:paraId="2A298E8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250" w:hRule="atLeast"/>
          <w:jc w:val="center"/>
        </w:trPr>
        <w:tc>
          <w:tcPr>
            <w:tcW w:w="2664" w:type="dxa"/>
            <w:tcBorders>
              <w:top w:val="single" w:color="auto" w:sz="4" w:space="0"/>
              <w:left w:val="single" w:color="auto" w:sz="4" w:space="0"/>
              <w:bottom w:val="single" w:color="auto" w:sz="4" w:space="0"/>
              <w:right w:val="single" w:color="auto" w:sz="4" w:space="0"/>
            </w:tcBorders>
            <w:shd w:val="clear" w:color="auto" w:fill="auto"/>
            <w:vAlign w:val="center"/>
          </w:tcPr>
          <w:p w14:paraId="60782271">
            <w:pPr>
              <w:snapToGrid w:val="0"/>
              <w:spacing w:line="360" w:lineRule="auto"/>
              <w:jc w:val="center"/>
              <w:rPr>
                <w:rFonts w:ascii="Times New Roman" w:hAnsi="Times New Roman" w:eastAsia="宋体" w:cs="Times New Roman"/>
                <w:szCs w:val="21"/>
              </w:rPr>
            </w:pPr>
            <w:r>
              <w:rPr>
                <w:rFonts w:hint="eastAsia" w:ascii="Times New Roman" w:hAnsi="Times New Roman" w:eastAsia="宋体" w:cs="Times New Roman"/>
                <w:szCs w:val="21"/>
              </w:rPr>
              <w:t>Mixing with broad-leaved trees shapes the rhizosphere soil fungal communities of coniferous tree species in subtropical forests</w:t>
            </w:r>
          </w:p>
        </w:tc>
        <w:tc>
          <w:tcPr>
            <w:tcW w:w="1135" w:type="dxa"/>
            <w:tcBorders>
              <w:top w:val="single" w:color="auto" w:sz="4" w:space="0"/>
              <w:left w:val="single" w:color="auto" w:sz="4" w:space="0"/>
              <w:bottom w:val="single" w:color="auto" w:sz="4" w:space="0"/>
              <w:right w:val="single" w:color="auto" w:sz="4" w:space="0"/>
            </w:tcBorders>
            <w:shd w:val="clear" w:color="auto" w:fill="auto"/>
            <w:vAlign w:val="center"/>
          </w:tcPr>
          <w:p w14:paraId="2DE3A089">
            <w:pPr>
              <w:snapToGrid w:val="0"/>
              <w:spacing w:line="360" w:lineRule="auto"/>
              <w:jc w:val="center"/>
              <w:rPr>
                <w:rFonts w:ascii="Times New Roman" w:hAnsi="Times New Roman" w:eastAsia="宋体" w:cs="Times New Roman"/>
                <w:szCs w:val="21"/>
                <w:lang w:val="zh-CN"/>
              </w:rPr>
            </w:pPr>
            <w:r>
              <w:rPr>
                <w:rFonts w:ascii="Times New Roman" w:hAnsi="Times New Roman" w:eastAsia="宋体" w:cs="Times New Roman"/>
                <w:szCs w:val="21"/>
              </w:rPr>
              <w:t>Forest Ecology and Management</w:t>
            </w:r>
          </w:p>
        </w:tc>
        <w:tc>
          <w:tcPr>
            <w:tcW w:w="552" w:type="dxa"/>
            <w:tcBorders>
              <w:top w:val="single" w:color="auto" w:sz="4" w:space="0"/>
              <w:left w:val="single" w:color="auto" w:sz="4" w:space="0"/>
              <w:bottom w:val="single" w:color="auto" w:sz="4" w:space="0"/>
              <w:right w:val="single" w:color="auto" w:sz="4" w:space="0"/>
            </w:tcBorders>
            <w:shd w:val="clear" w:color="auto" w:fill="auto"/>
            <w:vAlign w:val="center"/>
          </w:tcPr>
          <w:p w14:paraId="4BC5F666">
            <w:pPr>
              <w:snapToGrid w:val="0"/>
              <w:spacing w:line="360" w:lineRule="auto"/>
              <w:jc w:val="center"/>
              <w:rPr>
                <w:rFonts w:ascii="Times New Roman" w:hAnsi="Times New Roman" w:eastAsia="宋体" w:cs="Times New Roman"/>
                <w:szCs w:val="21"/>
              </w:rPr>
            </w:pPr>
            <w:r>
              <w:rPr>
                <w:rFonts w:hint="eastAsia" w:ascii="Times New Roman" w:hAnsi="Times New Roman" w:eastAsia="宋体" w:cs="Times New Roman"/>
                <w:szCs w:val="21"/>
              </w:rPr>
              <w:t>2021</w:t>
            </w:r>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14:paraId="6CAC9A9A">
            <w:pPr>
              <w:snapToGrid w:val="0"/>
              <w:spacing w:line="360" w:lineRule="auto"/>
              <w:jc w:val="center"/>
              <w:rPr>
                <w:rFonts w:ascii="Times New Roman" w:hAnsi="Times New Roman" w:eastAsia="宋体" w:cs="Times New Roman"/>
                <w:szCs w:val="21"/>
              </w:rPr>
            </w:pPr>
            <w:r>
              <w:rPr>
                <w:rFonts w:hint="eastAsia" w:ascii="Times New Roman" w:hAnsi="Times New Roman" w:eastAsia="宋体" w:cs="Times New Roman"/>
                <w:szCs w:val="21"/>
              </w:rPr>
              <w:t>480、</w:t>
            </w:r>
            <w:r>
              <w:rPr>
                <w:rFonts w:hint="eastAsia" w:ascii="Times New Roman" w:hAnsi="Times New Roman" w:eastAsia="宋体" w:cs="Times New Roman"/>
                <w:szCs w:val="21"/>
                <w:lang w:val="zh-CN"/>
              </w:rPr>
              <w:t>118664</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14:paraId="4A26E6FE">
            <w:pPr>
              <w:snapToGrid w:val="0"/>
              <w:spacing w:line="360" w:lineRule="auto"/>
              <w:jc w:val="center"/>
              <w:rPr>
                <w:rFonts w:ascii="Times New Roman" w:hAnsi="Times New Roman" w:eastAsia="宋体" w:cs="Times New Roman"/>
                <w:szCs w:val="21"/>
                <w:lang w:val="zh-CN"/>
              </w:rPr>
            </w:pPr>
            <w:r>
              <w:rPr>
                <w:rFonts w:hint="eastAsia" w:ascii="Times New Roman" w:hAnsi="Times New Roman" w:eastAsia="宋体" w:cs="Times New Roman"/>
                <w:szCs w:val="21"/>
              </w:rPr>
              <w:t>江西农业大学</w:t>
            </w:r>
          </w:p>
        </w:tc>
        <w:tc>
          <w:tcPr>
            <w:tcW w:w="992" w:type="dxa"/>
            <w:tcBorders>
              <w:top w:val="single" w:color="auto" w:sz="4" w:space="0"/>
              <w:left w:val="single" w:color="auto" w:sz="4" w:space="0"/>
              <w:bottom w:val="single" w:color="auto" w:sz="4" w:space="0"/>
              <w:right w:val="single" w:color="auto" w:sz="4" w:space="0"/>
            </w:tcBorders>
            <w:vAlign w:val="center"/>
          </w:tcPr>
          <w:p w14:paraId="4912D32A">
            <w:pPr>
              <w:snapToGrid w:val="0"/>
              <w:spacing w:line="360" w:lineRule="auto"/>
              <w:jc w:val="center"/>
              <w:rPr>
                <w:rFonts w:ascii="Times New Roman" w:hAnsi="Times New Roman" w:eastAsia="宋体" w:cs="Times New Roman"/>
                <w:szCs w:val="21"/>
              </w:rPr>
            </w:pPr>
            <w:r>
              <w:rPr>
                <w:rFonts w:hint="eastAsia" w:ascii="Times New Roman" w:hAnsi="Times New Roman" w:eastAsia="宋体" w:cs="Times New Roman"/>
                <w:szCs w:val="21"/>
              </w:rPr>
              <w:t>方向民</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14:paraId="4B4281B7">
            <w:pPr>
              <w:snapToGrid w:val="0"/>
              <w:spacing w:line="360" w:lineRule="auto"/>
              <w:jc w:val="center"/>
              <w:rPr>
                <w:rFonts w:ascii="Times New Roman" w:hAnsi="Times New Roman" w:eastAsia="宋体" w:cs="Times New Roman"/>
                <w:szCs w:val="21"/>
                <w:lang w:val="nl-NL"/>
              </w:rPr>
            </w:pPr>
            <w:r>
              <w:rPr>
                <w:rFonts w:hint="eastAsia" w:ascii="Times New Roman" w:hAnsi="Times New Roman" w:eastAsia="宋体" w:cs="Times New Roman"/>
                <w:szCs w:val="21"/>
              </w:rPr>
              <w:t>李文卿</w:t>
            </w:r>
            <w:r>
              <w:rPr>
                <w:rFonts w:ascii="Times New Roman" w:hAnsi="Times New Roman" w:eastAsia="宋体" w:cs="Times New Roman"/>
                <w:szCs w:val="21"/>
              </w:rPr>
              <w:t xml:space="preserve">, </w:t>
            </w:r>
            <w:r>
              <w:rPr>
                <w:rFonts w:hint="eastAsia" w:ascii="Times New Roman" w:hAnsi="Times New Roman" w:eastAsia="宋体" w:cs="Times New Roman"/>
                <w:szCs w:val="21"/>
              </w:rPr>
              <w:t>黄玉昕</w:t>
            </w:r>
            <w:r>
              <w:rPr>
                <w:rFonts w:ascii="Times New Roman" w:hAnsi="Times New Roman" w:eastAsia="宋体" w:cs="Times New Roman"/>
                <w:szCs w:val="21"/>
              </w:rPr>
              <w:t xml:space="preserve">, </w:t>
            </w:r>
            <w:r>
              <w:rPr>
                <w:rFonts w:hint="eastAsia" w:ascii="Times New Roman" w:hAnsi="Times New Roman" w:eastAsia="宋体" w:cs="Times New Roman"/>
                <w:szCs w:val="21"/>
              </w:rPr>
              <w:t>陈伏生</w:t>
            </w:r>
            <w:r>
              <w:rPr>
                <w:rFonts w:ascii="Times New Roman" w:hAnsi="Times New Roman" w:eastAsia="宋体" w:cs="Times New Roman"/>
                <w:szCs w:val="21"/>
              </w:rPr>
              <w:t xml:space="preserve">, </w:t>
            </w:r>
            <w:r>
              <w:rPr>
                <w:rFonts w:hint="eastAsia" w:ascii="Times New Roman" w:hAnsi="Times New Roman" w:eastAsia="宋体" w:cs="Times New Roman"/>
                <w:szCs w:val="21"/>
              </w:rPr>
              <w:t>刘苑秋</w:t>
            </w:r>
            <w:r>
              <w:rPr>
                <w:rFonts w:ascii="Times New Roman" w:hAnsi="Times New Roman" w:eastAsia="宋体" w:cs="Times New Roman"/>
                <w:szCs w:val="21"/>
              </w:rPr>
              <w:t xml:space="preserve">, </w:t>
            </w:r>
            <w:r>
              <w:rPr>
                <w:rFonts w:hint="eastAsia" w:ascii="Times New Roman" w:hAnsi="Times New Roman" w:eastAsia="宋体" w:cs="Times New Roman"/>
                <w:szCs w:val="21"/>
              </w:rPr>
              <w:t>林小凡</w:t>
            </w:r>
            <w:r>
              <w:rPr>
                <w:rFonts w:ascii="Times New Roman" w:hAnsi="Times New Roman" w:eastAsia="宋体" w:cs="Times New Roman"/>
                <w:szCs w:val="21"/>
              </w:rPr>
              <w:t>,</w:t>
            </w:r>
            <w:r>
              <w:rPr>
                <w:rFonts w:hint="eastAsia" w:ascii="Times New Roman" w:hAnsi="Times New Roman" w:eastAsia="宋体" w:cs="Times New Roman"/>
                <w:szCs w:val="21"/>
              </w:rPr>
              <w:t xml:space="preserve"> 宗莹莹</w:t>
            </w:r>
            <w:r>
              <w:rPr>
                <w:rFonts w:ascii="Times New Roman" w:hAnsi="Times New Roman" w:eastAsia="宋体" w:cs="Times New Roman"/>
                <w:szCs w:val="21"/>
              </w:rPr>
              <w:t xml:space="preserve">, </w:t>
            </w:r>
            <w:r>
              <w:rPr>
                <w:rFonts w:hint="eastAsia" w:ascii="Times New Roman" w:hAnsi="Times New Roman" w:eastAsia="宋体" w:cs="Times New Roman"/>
                <w:szCs w:val="21"/>
              </w:rPr>
              <w:t>吴高洋, 余知润, 方向民</w:t>
            </w:r>
            <w:r>
              <w:rPr>
                <w:rFonts w:ascii="Times New Roman" w:hAnsi="Times New Roman" w:eastAsia="宋体" w:cs="Times New Roman"/>
                <w:szCs w:val="21"/>
              </w:rPr>
              <w:t>*</w:t>
            </w:r>
          </w:p>
        </w:tc>
        <w:tc>
          <w:tcPr>
            <w:tcW w:w="844" w:type="dxa"/>
            <w:tcBorders>
              <w:top w:val="single" w:color="000000" w:sz="4" w:space="0"/>
              <w:left w:val="single" w:color="auto" w:sz="4" w:space="0"/>
              <w:bottom w:val="single" w:color="000000" w:sz="4" w:space="0"/>
              <w:right w:val="single" w:color="000000" w:sz="8" w:space="0"/>
            </w:tcBorders>
            <w:shd w:val="clear" w:color="auto" w:fill="auto"/>
            <w:vAlign w:val="center"/>
          </w:tcPr>
          <w:p w14:paraId="397EBA15">
            <w:pPr>
              <w:snapToGrid w:val="0"/>
              <w:spacing w:line="360" w:lineRule="auto"/>
              <w:jc w:val="center"/>
              <w:rPr>
                <w:rFonts w:ascii="Times New Roman" w:hAnsi="Times New Roman" w:eastAsia="宋体" w:cs="Times New Roman"/>
                <w:szCs w:val="21"/>
              </w:rPr>
            </w:pPr>
            <w:r>
              <w:rPr>
                <w:rFonts w:hint="eastAsia" w:ascii="Times New Roman" w:hAnsi="Times New Roman" w:eastAsia="宋体" w:cs="Times New Roman"/>
                <w:szCs w:val="21"/>
              </w:rPr>
              <w:t>SCI</w:t>
            </w:r>
          </w:p>
        </w:tc>
      </w:tr>
      <w:tr w14:paraId="65E1C89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250" w:hRule="atLeast"/>
          <w:jc w:val="center"/>
        </w:trPr>
        <w:tc>
          <w:tcPr>
            <w:tcW w:w="2664" w:type="dxa"/>
            <w:tcBorders>
              <w:top w:val="single" w:color="auto" w:sz="4" w:space="0"/>
              <w:left w:val="single" w:color="auto" w:sz="4" w:space="0"/>
              <w:bottom w:val="single" w:color="auto" w:sz="4" w:space="0"/>
              <w:right w:val="single" w:color="auto" w:sz="4" w:space="0"/>
            </w:tcBorders>
            <w:shd w:val="clear" w:color="auto" w:fill="auto"/>
            <w:vAlign w:val="center"/>
          </w:tcPr>
          <w:p w14:paraId="7850F858">
            <w:pPr>
              <w:snapToGrid w:val="0"/>
              <w:spacing w:line="360" w:lineRule="auto"/>
              <w:jc w:val="center"/>
              <w:rPr>
                <w:rFonts w:ascii="Times New Roman" w:hAnsi="Times New Roman" w:eastAsia="宋体" w:cs="Times New Roman"/>
                <w:szCs w:val="21"/>
                <w:lang w:val="en-GB"/>
              </w:rPr>
            </w:pPr>
            <w:r>
              <w:rPr>
                <w:rFonts w:hint="eastAsia" w:ascii="Times New Roman" w:hAnsi="Times New Roman" w:eastAsia="宋体" w:cs="Times New Roman"/>
                <w:szCs w:val="21"/>
                <w:lang w:val="zh-CN"/>
              </w:rPr>
              <w:t>不同密度对杉木林根际土壤丛枝菌根真菌群落结构及共生格局的影响特征</w:t>
            </w:r>
          </w:p>
        </w:tc>
        <w:tc>
          <w:tcPr>
            <w:tcW w:w="1135" w:type="dxa"/>
            <w:tcBorders>
              <w:top w:val="single" w:color="auto" w:sz="4" w:space="0"/>
              <w:left w:val="single" w:color="auto" w:sz="4" w:space="0"/>
              <w:bottom w:val="single" w:color="auto" w:sz="4" w:space="0"/>
              <w:right w:val="single" w:color="auto" w:sz="4" w:space="0"/>
            </w:tcBorders>
            <w:shd w:val="clear" w:color="auto" w:fill="auto"/>
            <w:vAlign w:val="center"/>
          </w:tcPr>
          <w:p w14:paraId="5B7EE7F5">
            <w:pPr>
              <w:snapToGrid w:val="0"/>
              <w:spacing w:line="360" w:lineRule="auto"/>
              <w:jc w:val="center"/>
              <w:rPr>
                <w:rFonts w:ascii="Times New Roman" w:hAnsi="Times New Roman" w:eastAsia="宋体" w:cs="Times New Roman"/>
                <w:szCs w:val="21"/>
                <w:lang w:val="en-GB"/>
              </w:rPr>
            </w:pPr>
            <w:r>
              <w:rPr>
                <w:rFonts w:ascii="Times New Roman" w:hAnsi="Times New Roman" w:eastAsia="宋体" w:cs="Times New Roman"/>
                <w:szCs w:val="21"/>
                <w:lang w:val="zh-CN"/>
              </w:rPr>
              <w:t>中南林业科技大学学报</w:t>
            </w:r>
          </w:p>
        </w:tc>
        <w:tc>
          <w:tcPr>
            <w:tcW w:w="552" w:type="dxa"/>
            <w:tcBorders>
              <w:top w:val="single" w:color="auto" w:sz="4" w:space="0"/>
              <w:left w:val="single" w:color="auto" w:sz="4" w:space="0"/>
              <w:bottom w:val="single" w:color="auto" w:sz="4" w:space="0"/>
              <w:right w:val="single" w:color="auto" w:sz="4" w:space="0"/>
            </w:tcBorders>
            <w:shd w:val="clear" w:color="auto" w:fill="auto"/>
            <w:vAlign w:val="center"/>
          </w:tcPr>
          <w:p w14:paraId="291BDFBB">
            <w:pPr>
              <w:snapToGrid w:val="0"/>
              <w:spacing w:line="360" w:lineRule="auto"/>
              <w:jc w:val="center"/>
              <w:rPr>
                <w:rFonts w:ascii="Times New Roman" w:hAnsi="Times New Roman" w:eastAsia="宋体" w:cs="Times New Roman"/>
                <w:szCs w:val="21"/>
              </w:rPr>
            </w:pPr>
            <w:r>
              <w:rPr>
                <w:rFonts w:hint="eastAsia" w:ascii="Times New Roman" w:hAnsi="Times New Roman" w:eastAsia="宋体" w:cs="Times New Roman"/>
                <w:szCs w:val="21"/>
              </w:rPr>
              <w:t>2023</w:t>
            </w:r>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14:paraId="47710D64">
            <w:pPr>
              <w:snapToGrid w:val="0"/>
              <w:spacing w:line="360" w:lineRule="auto"/>
              <w:jc w:val="center"/>
              <w:rPr>
                <w:rFonts w:ascii="Times New Roman" w:hAnsi="Times New Roman" w:eastAsia="宋体" w:cs="Times New Roman"/>
                <w:szCs w:val="21"/>
              </w:rPr>
            </w:pPr>
            <w:r>
              <w:rPr>
                <w:rFonts w:hint="eastAsia" w:ascii="Times New Roman" w:hAnsi="Times New Roman" w:eastAsia="宋体" w:cs="Times New Roman"/>
                <w:szCs w:val="21"/>
              </w:rPr>
              <w:t>43（11）、151-162</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14:paraId="70726D43">
            <w:pPr>
              <w:snapToGrid w:val="0"/>
              <w:spacing w:line="360" w:lineRule="auto"/>
              <w:jc w:val="center"/>
              <w:rPr>
                <w:rFonts w:ascii="Times New Roman" w:hAnsi="Times New Roman" w:eastAsia="宋体" w:cs="Times New Roman"/>
                <w:szCs w:val="21"/>
              </w:rPr>
            </w:pPr>
            <w:r>
              <w:rPr>
                <w:rFonts w:hint="eastAsia" w:ascii="Times New Roman" w:hAnsi="Times New Roman" w:eastAsia="宋体" w:cs="Times New Roman"/>
                <w:szCs w:val="21"/>
              </w:rPr>
              <w:t>江西省林业科学院</w:t>
            </w:r>
          </w:p>
        </w:tc>
        <w:tc>
          <w:tcPr>
            <w:tcW w:w="992" w:type="dxa"/>
            <w:tcBorders>
              <w:top w:val="single" w:color="auto" w:sz="4" w:space="0"/>
              <w:left w:val="single" w:color="auto" w:sz="4" w:space="0"/>
              <w:bottom w:val="single" w:color="auto" w:sz="4" w:space="0"/>
              <w:right w:val="single" w:color="auto" w:sz="4" w:space="0"/>
            </w:tcBorders>
            <w:vAlign w:val="center"/>
          </w:tcPr>
          <w:p w14:paraId="5265C402">
            <w:pPr>
              <w:snapToGrid w:val="0"/>
              <w:spacing w:line="360" w:lineRule="auto"/>
              <w:jc w:val="center"/>
              <w:rPr>
                <w:rFonts w:ascii="Times New Roman" w:hAnsi="Times New Roman" w:eastAsia="宋体" w:cs="Times New Roman"/>
                <w:szCs w:val="21"/>
              </w:rPr>
            </w:pPr>
            <w:r>
              <w:rPr>
                <w:rFonts w:hint="eastAsia" w:ascii="Times New Roman" w:hAnsi="Times New Roman" w:eastAsia="宋体" w:cs="Times New Roman"/>
                <w:szCs w:val="21"/>
              </w:rPr>
              <w:t>未明确通讯作者</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14:paraId="3E578B6A">
            <w:pPr>
              <w:snapToGrid w:val="0"/>
              <w:spacing w:line="360" w:lineRule="auto"/>
              <w:jc w:val="center"/>
              <w:rPr>
                <w:rFonts w:ascii="Times New Roman" w:hAnsi="Times New Roman" w:eastAsia="宋体" w:cs="Times New Roman"/>
                <w:szCs w:val="21"/>
                <w:lang w:val="zh-CN"/>
              </w:rPr>
            </w:pPr>
            <w:r>
              <w:rPr>
                <w:rFonts w:ascii="Times New Roman" w:hAnsi="Times New Roman" w:eastAsia="宋体" w:cs="Times New Roman"/>
                <w:szCs w:val="21"/>
                <w:lang w:val="zh-CN"/>
              </w:rPr>
              <w:t>王丽艳</w:t>
            </w:r>
            <w:r>
              <w:rPr>
                <w:rFonts w:hint="eastAsia" w:ascii="Times New Roman" w:hAnsi="Times New Roman" w:eastAsia="宋体" w:cs="Times New Roman"/>
                <w:szCs w:val="21"/>
              </w:rPr>
              <w:t xml:space="preserve">, </w:t>
            </w:r>
            <w:r>
              <w:rPr>
                <w:rFonts w:ascii="Times New Roman" w:hAnsi="Times New Roman" w:eastAsia="宋体" w:cs="Times New Roman"/>
                <w:szCs w:val="21"/>
                <w:lang w:val="zh-CN"/>
              </w:rPr>
              <w:t>李虹茹</w:t>
            </w:r>
            <w:r>
              <w:rPr>
                <w:rFonts w:hint="eastAsia" w:ascii="Times New Roman" w:hAnsi="Times New Roman" w:eastAsia="宋体" w:cs="Times New Roman"/>
                <w:szCs w:val="21"/>
              </w:rPr>
              <w:t xml:space="preserve">, </w:t>
            </w:r>
            <w:r>
              <w:rPr>
                <w:rFonts w:ascii="Times New Roman" w:hAnsi="Times New Roman" w:eastAsia="宋体" w:cs="Times New Roman"/>
                <w:szCs w:val="21"/>
                <w:lang w:val="zh-CN"/>
              </w:rPr>
              <w:t>黄文超</w:t>
            </w:r>
            <w:r>
              <w:rPr>
                <w:rFonts w:hint="eastAsia" w:ascii="Times New Roman" w:hAnsi="Times New Roman" w:eastAsia="宋体" w:cs="Times New Roman"/>
                <w:szCs w:val="21"/>
              </w:rPr>
              <w:t xml:space="preserve">, </w:t>
            </w:r>
            <w:r>
              <w:rPr>
                <w:rFonts w:ascii="Times New Roman" w:hAnsi="Times New Roman" w:eastAsia="宋体" w:cs="Times New Roman"/>
                <w:szCs w:val="21"/>
                <w:lang w:val="zh-CN"/>
              </w:rPr>
              <w:t>刘春江</w:t>
            </w:r>
            <w:r>
              <w:rPr>
                <w:rFonts w:hint="eastAsia" w:ascii="Times New Roman" w:hAnsi="Times New Roman" w:eastAsia="宋体" w:cs="Times New Roman"/>
                <w:szCs w:val="21"/>
              </w:rPr>
              <w:t xml:space="preserve">, </w:t>
            </w:r>
            <w:r>
              <w:rPr>
                <w:rFonts w:ascii="Times New Roman" w:hAnsi="Times New Roman" w:eastAsia="宋体" w:cs="Times New Roman"/>
                <w:szCs w:val="21"/>
                <w:lang w:val="zh-CN"/>
              </w:rPr>
              <w:t>吴巧花</w:t>
            </w:r>
            <w:r>
              <w:rPr>
                <w:rFonts w:hint="eastAsia" w:ascii="Times New Roman" w:hAnsi="Times New Roman" w:eastAsia="宋体" w:cs="Times New Roman"/>
                <w:szCs w:val="21"/>
              </w:rPr>
              <w:t xml:space="preserve">, </w:t>
            </w:r>
            <w:r>
              <w:rPr>
                <w:rFonts w:ascii="Times New Roman" w:hAnsi="Times New Roman" w:eastAsia="宋体" w:cs="Times New Roman"/>
                <w:szCs w:val="21"/>
                <w:lang w:val="zh-CN"/>
              </w:rPr>
              <w:t>罗坤水</w:t>
            </w:r>
          </w:p>
        </w:tc>
        <w:tc>
          <w:tcPr>
            <w:tcW w:w="844" w:type="dxa"/>
            <w:tcBorders>
              <w:top w:val="single" w:color="000000" w:sz="4" w:space="0"/>
              <w:left w:val="single" w:color="auto" w:sz="4" w:space="0"/>
              <w:bottom w:val="single" w:color="000000" w:sz="4" w:space="0"/>
              <w:right w:val="single" w:color="000000" w:sz="8" w:space="0"/>
            </w:tcBorders>
            <w:shd w:val="clear" w:color="auto" w:fill="auto"/>
            <w:vAlign w:val="center"/>
          </w:tcPr>
          <w:p w14:paraId="5404951F">
            <w:pPr>
              <w:snapToGrid w:val="0"/>
              <w:spacing w:line="360" w:lineRule="auto"/>
              <w:jc w:val="center"/>
              <w:rPr>
                <w:rFonts w:ascii="Times New Roman" w:hAnsi="Times New Roman" w:eastAsia="宋体" w:cs="Times New Roman"/>
                <w:szCs w:val="21"/>
              </w:rPr>
            </w:pPr>
            <w:r>
              <w:rPr>
                <w:rFonts w:hint="eastAsia" w:ascii="Times New Roman" w:hAnsi="Times New Roman" w:eastAsia="宋体" w:cs="Times New Roman"/>
                <w:szCs w:val="21"/>
              </w:rPr>
              <w:t>CSCD</w:t>
            </w:r>
          </w:p>
        </w:tc>
      </w:tr>
    </w:tbl>
    <w:p w14:paraId="164BF123">
      <w:pPr>
        <w:spacing w:line="360" w:lineRule="auto"/>
        <w:rPr>
          <w:rFonts w:ascii="Times New Roman" w:hAnsi="Times New Roman" w:eastAsia="宋体" w:cs="Times New Roman"/>
          <w:sz w:val="24"/>
          <w:szCs w:val="24"/>
        </w:rPr>
      </w:pPr>
    </w:p>
    <w:p w14:paraId="205883DE">
      <w:pPr>
        <w:spacing w:line="360" w:lineRule="auto"/>
        <w:rPr>
          <w:rFonts w:hint="eastAsia" w:ascii="仿宋_GB2312" w:hAnsi="Times New Roman" w:eastAsia="仿宋_GB2312" w:cs="Times New Roman"/>
          <w:b/>
          <w:bCs/>
          <w:sz w:val="28"/>
          <w:szCs w:val="28"/>
        </w:rPr>
      </w:pPr>
      <w:r>
        <w:rPr>
          <w:rFonts w:hint="eastAsia" w:ascii="仿宋_GB2312" w:hAnsi="Times New Roman" w:eastAsia="仿宋_GB2312" w:cs="Times New Roman"/>
          <w:b/>
          <w:bCs/>
          <w:sz w:val="28"/>
          <w:szCs w:val="28"/>
        </w:rPr>
        <w:t xml:space="preserve">主要完成人情况： </w:t>
      </w:r>
    </w:p>
    <w:p w14:paraId="1451BEBC">
      <w:pPr>
        <w:pStyle w:val="14"/>
        <w:spacing w:line="360" w:lineRule="auto"/>
        <w:ind w:firstLine="0" w:firstLineChars="0"/>
        <w:rPr>
          <w:rFonts w:ascii="Times New Roman" w:hAnsi="Times New Roman" w:eastAsia="宋体" w:cs="Times New Roman"/>
          <w:sz w:val="28"/>
          <w:szCs w:val="28"/>
        </w:rPr>
      </w:pPr>
      <w:r>
        <w:rPr>
          <w:rFonts w:ascii="Times New Roman" w:hAnsi="Times New Roman" w:eastAsia="宋体" w:cs="Times New Roman"/>
          <w:sz w:val="28"/>
          <w:szCs w:val="28"/>
        </w:rPr>
        <w:t xml:space="preserve">1. </w:t>
      </w:r>
      <w:r>
        <w:rPr>
          <w:rFonts w:hint="eastAsia" w:ascii="Times New Roman" w:hAnsi="Times New Roman" w:eastAsia="宋体" w:cs="Times New Roman"/>
          <w:sz w:val="28"/>
          <w:szCs w:val="28"/>
        </w:rPr>
        <w:t>陈伏生</w:t>
      </w:r>
      <w:r>
        <w:rPr>
          <w:rFonts w:ascii="Times New Roman" w:hAnsi="Times New Roman" w:eastAsia="宋体" w:cs="Times New Roman"/>
          <w:sz w:val="28"/>
          <w:szCs w:val="28"/>
        </w:rPr>
        <w:t>：男，江西农业大学教授/博导。第1完成人。主要贡献：全面主持该项目，制定研究技术路线，协调各单位间合作，结合项目团队多年的研究成果，构建了地力-结构-功能协同的“三维”培育技术体系，提出了因地定林优能、因林提地增能、因能修地调林三种典型培育技术模式</w:t>
      </w:r>
      <w:r>
        <w:rPr>
          <w:rFonts w:hint="eastAsia" w:ascii="Times New Roman" w:hAnsi="Times New Roman" w:eastAsia="宋体" w:cs="Times New Roman"/>
          <w:sz w:val="28"/>
          <w:szCs w:val="28"/>
        </w:rPr>
        <w:t>，</w:t>
      </w:r>
      <w:r>
        <w:rPr>
          <w:rFonts w:ascii="Times New Roman" w:hAnsi="Times New Roman" w:eastAsia="宋体" w:cs="Times New Roman"/>
          <w:sz w:val="28"/>
          <w:szCs w:val="28"/>
        </w:rPr>
        <w:t>并开展了示范</w:t>
      </w:r>
      <w:r>
        <w:rPr>
          <w:rFonts w:hint="eastAsia" w:ascii="Times New Roman" w:hAnsi="Times New Roman" w:eastAsia="宋体" w:cs="Times New Roman"/>
          <w:sz w:val="28"/>
          <w:szCs w:val="28"/>
        </w:rPr>
        <w:t>应用</w:t>
      </w:r>
      <w:r>
        <w:rPr>
          <w:rFonts w:ascii="Times New Roman" w:hAnsi="Times New Roman" w:eastAsia="宋体" w:cs="Times New Roman"/>
          <w:sz w:val="28"/>
          <w:szCs w:val="28"/>
        </w:rPr>
        <w:t>。对该项目理论和技术创新做出了突出贡献。</w:t>
      </w:r>
    </w:p>
    <w:p w14:paraId="2070C356">
      <w:pPr>
        <w:pStyle w:val="14"/>
        <w:spacing w:line="360" w:lineRule="auto"/>
        <w:ind w:firstLine="0" w:firstLineChars="0"/>
        <w:rPr>
          <w:rFonts w:ascii="Times New Roman" w:hAnsi="Times New Roman" w:eastAsia="宋体" w:cs="Times New Roman"/>
          <w:sz w:val="28"/>
          <w:szCs w:val="28"/>
        </w:rPr>
      </w:pPr>
      <w:r>
        <w:rPr>
          <w:rFonts w:ascii="Times New Roman" w:hAnsi="Times New Roman" w:eastAsia="宋体" w:cs="Times New Roman"/>
          <w:sz w:val="28"/>
          <w:szCs w:val="28"/>
        </w:rPr>
        <w:t xml:space="preserve">2. </w:t>
      </w:r>
      <w:r>
        <w:rPr>
          <w:rFonts w:hint="eastAsia" w:ascii="Times New Roman" w:hAnsi="Times New Roman" w:eastAsia="宋体" w:cs="Times New Roman"/>
          <w:sz w:val="28"/>
          <w:szCs w:val="28"/>
        </w:rPr>
        <w:t>王丽艳</w:t>
      </w:r>
      <w:r>
        <w:rPr>
          <w:rFonts w:ascii="Times New Roman" w:hAnsi="Times New Roman" w:eastAsia="宋体" w:cs="Times New Roman"/>
          <w:sz w:val="28"/>
          <w:szCs w:val="28"/>
        </w:rPr>
        <w:t>：</w:t>
      </w:r>
      <w:r>
        <w:rPr>
          <w:rFonts w:hint="eastAsia" w:ascii="Times New Roman" w:hAnsi="Times New Roman" w:eastAsia="宋体" w:cs="Times New Roman"/>
          <w:sz w:val="28"/>
          <w:szCs w:val="28"/>
        </w:rPr>
        <w:t>女</w:t>
      </w:r>
      <w:r>
        <w:rPr>
          <w:rFonts w:ascii="Times New Roman" w:hAnsi="Times New Roman" w:eastAsia="宋体" w:cs="Times New Roman"/>
          <w:sz w:val="28"/>
          <w:szCs w:val="28"/>
        </w:rPr>
        <w:t>，江西省林业科学院</w:t>
      </w:r>
      <w:r>
        <w:rPr>
          <w:rFonts w:hint="eastAsia" w:ascii="Times New Roman" w:hAnsi="Times New Roman" w:eastAsia="宋体" w:cs="Times New Roman"/>
          <w:sz w:val="28"/>
          <w:szCs w:val="28"/>
        </w:rPr>
        <w:t>研究员</w:t>
      </w:r>
      <w:r>
        <w:rPr>
          <w:rFonts w:ascii="Times New Roman" w:hAnsi="Times New Roman" w:eastAsia="宋体" w:cs="Times New Roman"/>
          <w:sz w:val="28"/>
          <w:szCs w:val="28"/>
        </w:rPr>
        <w:t>。第2完成人。主要贡献：</w:t>
      </w:r>
      <w:r>
        <w:rPr>
          <w:rFonts w:hint="eastAsia" w:ascii="Times New Roman" w:hAnsi="Times New Roman" w:eastAsia="宋体" w:cs="Times New Roman"/>
          <w:sz w:val="28"/>
          <w:szCs w:val="28"/>
        </w:rPr>
        <w:t>负责开展</w:t>
      </w:r>
      <w:r>
        <w:rPr>
          <w:rFonts w:ascii="Times New Roman" w:hAnsi="Times New Roman" w:eastAsia="宋体" w:cs="Times New Roman"/>
          <w:sz w:val="28"/>
          <w:szCs w:val="28"/>
        </w:rPr>
        <w:t>低效针叶林结构优化方面的研究，从</w:t>
      </w:r>
      <w:r>
        <w:rPr>
          <w:rFonts w:hint="eastAsia" w:ascii="Times New Roman" w:hAnsi="Times New Roman" w:eastAsia="宋体" w:cs="Times New Roman"/>
          <w:sz w:val="28"/>
          <w:szCs w:val="28"/>
        </w:rPr>
        <w:t>森林</w:t>
      </w:r>
      <w:r>
        <w:rPr>
          <w:rFonts w:ascii="Times New Roman" w:hAnsi="Times New Roman" w:eastAsia="宋体" w:cs="Times New Roman"/>
          <w:sz w:val="28"/>
          <w:szCs w:val="28"/>
        </w:rPr>
        <w:t>抚育、土壤改良、林下管理多个技术角度，构建了低效针叶林结构优化提质增效技术体系。发表关于低效针叶林结构调控相关论文多篇，为项目成果推广提供重要的理论依据。</w:t>
      </w:r>
    </w:p>
    <w:p w14:paraId="3B33E66D">
      <w:pPr>
        <w:pStyle w:val="14"/>
        <w:spacing w:line="360" w:lineRule="auto"/>
        <w:ind w:firstLine="0" w:firstLineChars="0"/>
        <w:rPr>
          <w:rFonts w:ascii="Times New Roman" w:hAnsi="Times New Roman" w:eastAsia="宋体" w:cs="Times New Roman"/>
          <w:sz w:val="28"/>
          <w:szCs w:val="28"/>
        </w:rPr>
      </w:pPr>
      <w:r>
        <w:rPr>
          <w:rFonts w:ascii="Times New Roman" w:hAnsi="Times New Roman" w:eastAsia="宋体" w:cs="Times New Roman"/>
          <w:sz w:val="28"/>
          <w:szCs w:val="28"/>
        </w:rPr>
        <w:t>3. 林小凡：</w:t>
      </w:r>
      <w:r>
        <w:rPr>
          <w:rFonts w:hint="eastAsia" w:ascii="Times New Roman" w:hAnsi="Times New Roman" w:eastAsia="宋体" w:cs="Times New Roman"/>
          <w:sz w:val="28"/>
          <w:szCs w:val="28"/>
        </w:rPr>
        <w:t>男</w:t>
      </w:r>
      <w:r>
        <w:rPr>
          <w:rFonts w:ascii="Times New Roman" w:hAnsi="Times New Roman" w:eastAsia="宋体" w:cs="Times New Roman"/>
          <w:sz w:val="28"/>
          <w:szCs w:val="28"/>
        </w:rPr>
        <w:t>，</w:t>
      </w:r>
      <w:r>
        <w:rPr>
          <w:rFonts w:hint="eastAsia" w:ascii="Times New Roman" w:hAnsi="Times New Roman" w:eastAsia="宋体" w:cs="Times New Roman"/>
          <w:sz w:val="28"/>
          <w:szCs w:val="28"/>
        </w:rPr>
        <w:t>江西农业大学</w:t>
      </w:r>
      <w:r>
        <w:rPr>
          <w:rFonts w:ascii="Times New Roman" w:hAnsi="Times New Roman" w:eastAsia="宋体" w:cs="Times New Roman"/>
          <w:sz w:val="28"/>
          <w:szCs w:val="28"/>
        </w:rPr>
        <w:t>研究员/</w:t>
      </w:r>
      <w:r>
        <w:rPr>
          <w:rFonts w:hint="eastAsia" w:ascii="Times New Roman" w:hAnsi="Times New Roman" w:eastAsia="宋体" w:cs="Times New Roman"/>
          <w:sz w:val="28"/>
          <w:szCs w:val="28"/>
        </w:rPr>
        <w:t>硕</w:t>
      </w:r>
      <w:r>
        <w:rPr>
          <w:rFonts w:ascii="Times New Roman" w:hAnsi="Times New Roman" w:eastAsia="宋体" w:cs="Times New Roman"/>
          <w:sz w:val="28"/>
          <w:szCs w:val="28"/>
        </w:rPr>
        <w:t>导。第3完成人。主要贡献：</w:t>
      </w:r>
      <w:r>
        <w:rPr>
          <w:rFonts w:hint="eastAsia" w:ascii="Times New Roman" w:hAnsi="Times New Roman" w:eastAsia="宋体" w:cs="Times New Roman"/>
          <w:sz w:val="28"/>
          <w:szCs w:val="28"/>
        </w:rPr>
        <w:t>负责</w:t>
      </w:r>
      <w:r>
        <w:rPr>
          <w:rFonts w:ascii="Times New Roman" w:hAnsi="Times New Roman" w:eastAsia="宋体" w:cs="Times New Roman"/>
          <w:sz w:val="28"/>
          <w:szCs w:val="28"/>
        </w:rPr>
        <w:t>项目的实施</w:t>
      </w:r>
      <w:r>
        <w:rPr>
          <w:rFonts w:hint="eastAsia" w:ascii="Times New Roman" w:hAnsi="Times New Roman" w:eastAsia="宋体" w:cs="Times New Roman"/>
          <w:sz w:val="28"/>
          <w:szCs w:val="28"/>
        </w:rPr>
        <w:t>、</w:t>
      </w:r>
      <w:r>
        <w:rPr>
          <w:rFonts w:ascii="Times New Roman" w:hAnsi="Times New Roman" w:eastAsia="宋体" w:cs="Times New Roman"/>
          <w:sz w:val="28"/>
          <w:szCs w:val="28"/>
        </w:rPr>
        <w:t>规划</w:t>
      </w:r>
      <w:r>
        <w:rPr>
          <w:rFonts w:hint="eastAsia" w:ascii="Times New Roman" w:hAnsi="Times New Roman" w:eastAsia="宋体" w:cs="Times New Roman"/>
          <w:sz w:val="28"/>
          <w:szCs w:val="28"/>
        </w:rPr>
        <w:t>和协调。研发湿地松、</w:t>
      </w:r>
      <w:r>
        <w:rPr>
          <w:rFonts w:ascii="Times New Roman" w:hAnsi="Times New Roman" w:eastAsia="宋体" w:cs="Times New Roman"/>
          <w:sz w:val="28"/>
          <w:szCs w:val="28"/>
        </w:rPr>
        <w:t>杉木</w:t>
      </w:r>
      <w:r>
        <w:rPr>
          <w:rFonts w:hint="eastAsia" w:ascii="Times New Roman" w:hAnsi="Times New Roman" w:eastAsia="宋体" w:cs="Times New Roman"/>
          <w:sz w:val="28"/>
          <w:szCs w:val="28"/>
        </w:rPr>
        <w:t>林分</w:t>
      </w:r>
      <w:r>
        <w:rPr>
          <w:rFonts w:ascii="Times New Roman" w:hAnsi="Times New Roman" w:eastAsia="宋体" w:cs="Times New Roman"/>
          <w:sz w:val="28"/>
          <w:szCs w:val="28"/>
        </w:rPr>
        <w:t>结构改造</w:t>
      </w:r>
      <w:r>
        <w:rPr>
          <w:rFonts w:hint="eastAsia" w:ascii="Times New Roman" w:hAnsi="Times New Roman" w:eastAsia="宋体" w:cs="Times New Roman"/>
          <w:sz w:val="28"/>
          <w:szCs w:val="28"/>
        </w:rPr>
        <w:t>相关</w:t>
      </w:r>
      <w:r>
        <w:rPr>
          <w:rFonts w:ascii="Times New Roman" w:hAnsi="Times New Roman" w:eastAsia="宋体" w:cs="Times New Roman"/>
          <w:sz w:val="28"/>
          <w:szCs w:val="28"/>
        </w:rPr>
        <w:t>技术</w:t>
      </w:r>
      <w:r>
        <w:rPr>
          <w:rFonts w:hint="eastAsia" w:ascii="Times New Roman" w:hAnsi="Times New Roman" w:eastAsia="宋体" w:cs="Times New Roman"/>
          <w:sz w:val="28"/>
          <w:szCs w:val="28"/>
        </w:rPr>
        <w:t>，并</w:t>
      </w:r>
      <w:r>
        <w:rPr>
          <w:rFonts w:ascii="Times New Roman" w:hAnsi="Times New Roman" w:eastAsia="宋体" w:cs="Times New Roman"/>
          <w:sz w:val="28"/>
          <w:szCs w:val="28"/>
        </w:rPr>
        <w:t>推广</w:t>
      </w:r>
      <w:r>
        <w:rPr>
          <w:rFonts w:hint="eastAsia" w:ascii="Times New Roman" w:hAnsi="Times New Roman" w:eastAsia="宋体" w:cs="Times New Roman"/>
          <w:sz w:val="28"/>
          <w:szCs w:val="28"/>
        </w:rPr>
        <w:t>应用。</w:t>
      </w:r>
      <w:r>
        <w:rPr>
          <w:rFonts w:ascii="Times New Roman" w:hAnsi="Times New Roman" w:eastAsia="宋体" w:cs="Times New Roman"/>
          <w:sz w:val="28"/>
          <w:szCs w:val="28"/>
        </w:rPr>
        <w:t>对</w:t>
      </w:r>
      <w:r>
        <w:rPr>
          <w:rFonts w:hint="eastAsia" w:ascii="Times New Roman" w:hAnsi="Times New Roman" w:eastAsia="宋体" w:cs="Times New Roman"/>
          <w:sz w:val="28"/>
          <w:szCs w:val="28"/>
        </w:rPr>
        <w:t>基于</w:t>
      </w:r>
      <w:r>
        <w:rPr>
          <w:rFonts w:ascii="Times New Roman" w:hAnsi="Times New Roman" w:eastAsia="宋体" w:cs="Times New Roman"/>
          <w:sz w:val="28"/>
          <w:szCs w:val="28"/>
        </w:rPr>
        <w:t>水平</w:t>
      </w:r>
      <w:r>
        <w:rPr>
          <w:rFonts w:hint="eastAsia" w:ascii="Times New Roman" w:hAnsi="Times New Roman" w:eastAsia="宋体" w:cs="Times New Roman"/>
          <w:sz w:val="28"/>
          <w:szCs w:val="28"/>
        </w:rPr>
        <w:t>和</w:t>
      </w:r>
      <w:r>
        <w:rPr>
          <w:rFonts w:ascii="Times New Roman" w:hAnsi="Times New Roman" w:eastAsia="宋体" w:cs="Times New Roman"/>
          <w:sz w:val="28"/>
          <w:szCs w:val="28"/>
        </w:rPr>
        <w:t>垂直结构的人工针叶林结构优化技术</w:t>
      </w:r>
      <w:r>
        <w:rPr>
          <w:rFonts w:hint="eastAsia" w:ascii="Times New Roman" w:hAnsi="Times New Roman" w:eastAsia="宋体" w:cs="Times New Roman"/>
          <w:sz w:val="28"/>
          <w:szCs w:val="28"/>
        </w:rPr>
        <w:t>研发</w:t>
      </w:r>
      <w:r>
        <w:rPr>
          <w:rFonts w:ascii="Times New Roman" w:hAnsi="Times New Roman" w:eastAsia="宋体" w:cs="Times New Roman"/>
          <w:sz w:val="28"/>
          <w:szCs w:val="28"/>
        </w:rPr>
        <w:t>做出了突出贡献。</w:t>
      </w:r>
    </w:p>
    <w:p w14:paraId="7AE4C209">
      <w:pPr>
        <w:pStyle w:val="14"/>
        <w:spacing w:line="360" w:lineRule="auto"/>
        <w:ind w:firstLine="0" w:firstLineChars="0"/>
        <w:rPr>
          <w:rFonts w:ascii="Times New Roman" w:hAnsi="Times New Roman" w:eastAsia="宋体" w:cs="Times New Roman"/>
          <w:sz w:val="28"/>
          <w:szCs w:val="28"/>
        </w:rPr>
      </w:pPr>
      <w:r>
        <w:rPr>
          <w:rFonts w:ascii="Times New Roman" w:hAnsi="Times New Roman" w:eastAsia="宋体" w:cs="Times New Roman"/>
          <w:sz w:val="28"/>
          <w:szCs w:val="28"/>
        </w:rPr>
        <w:t xml:space="preserve">4. </w:t>
      </w:r>
      <w:r>
        <w:rPr>
          <w:rFonts w:hint="eastAsia" w:ascii="Times New Roman" w:hAnsi="Times New Roman" w:eastAsia="宋体" w:cs="Times New Roman"/>
          <w:sz w:val="28"/>
          <w:szCs w:val="28"/>
        </w:rPr>
        <w:t>方向民</w:t>
      </w:r>
      <w:r>
        <w:rPr>
          <w:rFonts w:ascii="Times New Roman" w:hAnsi="Times New Roman" w:eastAsia="宋体" w:cs="Times New Roman"/>
          <w:sz w:val="28"/>
          <w:szCs w:val="28"/>
        </w:rPr>
        <w:t>：男，江西农业大学</w:t>
      </w:r>
      <w:r>
        <w:rPr>
          <w:rFonts w:hint="eastAsia" w:ascii="Times New Roman" w:hAnsi="Times New Roman" w:eastAsia="宋体" w:cs="Times New Roman"/>
          <w:sz w:val="28"/>
          <w:szCs w:val="28"/>
        </w:rPr>
        <w:t>研究员</w:t>
      </w:r>
      <w:r>
        <w:rPr>
          <w:rFonts w:ascii="Times New Roman" w:hAnsi="Times New Roman" w:eastAsia="宋体" w:cs="Times New Roman"/>
          <w:sz w:val="28"/>
          <w:szCs w:val="28"/>
        </w:rPr>
        <w:t>/博导。第4完成人。主要贡献：负责杉木、马尾松等低效人工林经营关键技术的优化创新，揭示了养分</w:t>
      </w:r>
      <w:r>
        <w:rPr>
          <w:rFonts w:hint="eastAsia" w:ascii="Times New Roman" w:hAnsi="Times New Roman" w:eastAsia="宋体" w:cs="Times New Roman"/>
          <w:sz w:val="28"/>
          <w:szCs w:val="28"/>
        </w:rPr>
        <w:t>添加、混交等管理措施对土壤养分供应的影响及其微生物调控</w:t>
      </w:r>
      <w:r>
        <w:rPr>
          <w:rFonts w:ascii="Times New Roman" w:hAnsi="Times New Roman" w:eastAsia="宋体" w:cs="Times New Roman"/>
          <w:sz w:val="28"/>
          <w:szCs w:val="28"/>
        </w:rPr>
        <w:t>机制，集成了密度调控、树种混交、林下管理为一体的低效</w:t>
      </w:r>
      <w:r>
        <w:rPr>
          <w:rFonts w:hint="eastAsia" w:ascii="Times New Roman" w:hAnsi="Times New Roman" w:eastAsia="宋体" w:cs="Times New Roman"/>
          <w:sz w:val="28"/>
          <w:szCs w:val="28"/>
        </w:rPr>
        <w:t>针叶</w:t>
      </w:r>
      <w:r>
        <w:rPr>
          <w:rFonts w:ascii="Times New Roman" w:hAnsi="Times New Roman" w:eastAsia="宋体" w:cs="Times New Roman"/>
          <w:sz w:val="28"/>
          <w:szCs w:val="28"/>
        </w:rPr>
        <w:t>林结构优化技术体系。</w:t>
      </w:r>
    </w:p>
    <w:p w14:paraId="1EF2773A">
      <w:pPr>
        <w:pStyle w:val="14"/>
        <w:spacing w:line="360" w:lineRule="auto"/>
        <w:ind w:firstLine="0" w:firstLineChars="0"/>
        <w:rPr>
          <w:rFonts w:ascii="Times New Roman" w:hAnsi="Times New Roman" w:eastAsia="宋体" w:cs="Times New Roman"/>
          <w:sz w:val="28"/>
          <w:szCs w:val="28"/>
        </w:rPr>
      </w:pPr>
      <w:r>
        <w:rPr>
          <w:rFonts w:ascii="Times New Roman" w:hAnsi="Times New Roman" w:eastAsia="宋体" w:cs="Times New Roman"/>
          <w:sz w:val="28"/>
          <w:szCs w:val="28"/>
        </w:rPr>
        <w:t xml:space="preserve">5. </w:t>
      </w:r>
      <w:r>
        <w:rPr>
          <w:rFonts w:hint="eastAsia" w:ascii="Times New Roman" w:hAnsi="Times New Roman" w:eastAsia="宋体" w:cs="Times New Roman"/>
          <w:sz w:val="28"/>
          <w:szCs w:val="28"/>
        </w:rPr>
        <w:t>罗坤水</w:t>
      </w:r>
      <w:r>
        <w:rPr>
          <w:rFonts w:ascii="Times New Roman" w:hAnsi="Times New Roman" w:eastAsia="宋体" w:cs="Times New Roman"/>
          <w:sz w:val="28"/>
          <w:szCs w:val="28"/>
        </w:rPr>
        <w:t>：</w:t>
      </w:r>
      <w:r>
        <w:rPr>
          <w:rFonts w:hint="eastAsia" w:ascii="Times New Roman" w:hAnsi="Times New Roman" w:eastAsia="宋体" w:cs="Times New Roman"/>
          <w:sz w:val="28"/>
          <w:szCs w:val="28"/>
        </w:rPr>
        <w:t>男</w:t>
      </w:r>
      <w:r>
        <w:rPr>
          <w:rFonts w:ascii="Times New Roman" w:hAnsi="Times New Roman" w:eastAsia="宋体" w:cs="Times New Roman"/>
          <w:sz w:val="28"/>
          <w:szCs w:val="28"/>
        </w:rPr>
        <w:t>，江西省林业科学院研究员/</w:t>
      </w:r>
      <w:r>
        <w:rPr>
          <w:rFonts w:hint="eastAsia" w:ascii="Times New Roman" w:hAnsi="Times New Roman" w:eastAsia="宋体" w:cs="Times New Roman"/>
          <w:sz w:val="28"/>
          <w:szCs w:val="28"/>
        </w:rPr>
        <w:t>所长</w:t>
      </w:r>
      <w:r>
        <w:rPr>
          <w:rFonts w:ascii="Times New Roman" w:hAnsi="Times New Roman" w:eastAsia="宋体" w:cs="Times New Roman"/>
          <w:sz w:val="28"/>
          <w:szCs w:val="28"/>
        </w:rPr>
        <w:t>。第5完成人。</w:t>
      </w:r>
      <w:r>
        <w:rPr>
          <w:rFonts w:hint="eastAsia" w:ascii="Times New Roman" w:hAnsi="Times New Roman" w:eastAsia="宋体" w:cs="Times New Roman"/>
          <w:sz w:val="28"/>
          <w:szCs w:val="28"/>
        </w:rPr>
        <w:t>负责</w:t>
      </w:r>
      <w:r>
        <w:rPr>
          <w:rFonts w:ascii="Times New Roman" w:hAnsi="Times New Roman" w:eastAsia="宋体" w:cs="Times New Roman"/>
          <w:sz w:val="28"/>
          <w:szCs w:val="28"/>
        </w:rPr>
        <w:t>研究杉木</w:t>
      </w:r>
      <w:r>
        <w:rPr>
          <w:rFonts w:hint="eastAsia" w:ascii="Times New Roman" w:hAnsi="Times New Roman" w:eastAsia="宋体" w:cs="Times New Roman"/>
          <w:sz w:val="28"/>
          <w:szCs w:val="28"/>
        </w:rPr>
        <w:t>和</w:t>
      </w:r>
      <w:r>
        <w:rPr>
          <w:rFonts w:ascii="Times New Roman" w:hAnsi="Times New Roman" w:eastAsia="宋体" w:cs="Times New Roman"/>
          <w:sz w:val="28"/>
          <w:szCs w:val="28"/>
        </w:rPr>
        <w:t>松类丰产培育技术研究，从良种选择、立地选择、抚育管护、林下植被管理多个技术角度，构建了杉木楠木混交林经营技术体系，牵头制定了地方标准《湿地松抚育经营技术规程》。</w:t>
      </w:r>
    </w:p>
    <w:p w14:paraId="0DFDD679">
      <w:pPr>
        <w:pStyle w:val="14"/>
        <w:spacing w:line="360" w:lineRule="auto"/>
        <w:ind w:firstLine="0" w:firstLineChars="0"/>
        <w:rPr>
          <w:rFonts w:ascii="Times New Roman" w:hAnsi="Times New Roman" w:eastAsia="宋体" w:cs="Times New Roman"/>
          <w:sz w:val="28"/>
          <w:szCs w:val="28"/>
        </w:rPr>
      </w:pPr>
      <w:r>
        <w:rPr>
          <w:rFonts w:ascii="Times New Roman" w:hAnsi="Times New Roman" w:eastAsia="宋体" w:cs="Times New Roman"/>
          <w:sz w:val="28"/>
          <w:szCs w:val="28"/>
        </w:rPr>
        <w:t xml:space="preserve">6. </w:t>
      </w:r>
      <w:r>
        <w:rPr>
          <w:rFonts w:hint="eastAsia" w:ascii="Times New Roman" w:hAnsi="Times New Roman" w:eastAsia="宋体" w:cs="Times New Roman"/>
          <w:sz w:val="28"/>
          <w:szCs w:val="28"/>
        </w:rPr>
        <w:t>胡小飞</w:t>
      </w:r>
      <w:r>
        <w:rPr>
          <w:rFonts w:ascii="Times New Roman" w:hAnsi="Times New Roman" w:eastAsia="宋体" w:cs="Times New Roman"/>
          <w:sz w:val="28"/>
          <w:szCs w:val="28"/>
        </w:rPr>
        <w:t>：</w:t>
      </w:r>
      <w:r>
        <w:rPr>
          <w:rFonts w:hint="eastAsia" w:ascii="Times New Roman" w:hAnsi="Times New Roman" w:eastAsia="宋体" w:cs="Times New Roman"/>
          <w:sz w:val="28"/>
          <w:szCs w:val="28"/>
        </w:rPr>
        <w:t>女</w:t>
      </w:r>
      <w:r>
        <w:rPr>
          <w:rFonts w:ascii="Times New Roman" w:hAnsi="Times New Roman" w:eastAsia="宋体" w:cs="Times New Roman"/>
          <w:sz w:val="28"/>
          <w:szCs w:val="28"/>
        </w:rPr>
        <w:t>，</w:t>
      </w:r>
      <w:r>
        <w:rPr>
          <w:rFonts w:hint="eastAsia" w:ascii="Times New Roman" w:hAnsi="Times New Roman" w:eastAsia="宋体" w:cs="Times New Roman"/>
          <w:sz w:val="28"/>
          <w:szCs w:val="28"/>
        </w:rPr>
        <w:t>南昌大学教授</w:t>
      </w:r>
      <w:r>
        <w:rPr>
          <w:rFonts w:ascii="Times New Roman" w:hAnsi="Times New Roman" w:eastAsia="宋体" w:cs="Times New Roman"/>
          <w:sz w:val="28"/>
          <w:szCs w:val="28"/>
        </w:rPr>
        <w:t>/博导。第6完成人。主要贡献：</w:t>
      </w:r>
      <w:r>
        <w:rPr>
          <w:rFonts w:hint="eastAsia" w:ascii="Times New Roman" w:hAnsi="Times New Roman" w:eastAsia="宋体" w:cs="Times New Roman"/>
          <w:sz w:val="28"/>
          <w:szCs w:val="28"/>
        </w:rPr>
        <w:t>负责</w:t>
      </w:r>
      <w:r>
        <w:rPr>
          <w:rFonts w:ascii="Times New Roman" w:hAnsi="Times New Roman" w:eastAsia="宋体" w:cs="Times New Roman"/>
          <w:sz w:val="28"/>
          <w:szCs w:val="28"/>
        </w:rPr>
        <w:t>研究杉木林平衡施肥及养分管理技术，主要对项目杉木</w:t>
      </w:r>
      <w:r>
        <w:rPr>
          <w:rFonts w:hint="eastAsia" w:ascii="Times New Roman" w:hAnsi="Times New Roman" w:eastAsia="宋体" w:cs="Times New Roman"/>
          <w:sz w:val="28"/>
          <w:szCs w:val="28"/>
        </w:rPr>
        <w:t>人工</w:t>
      </w:r>
      <w:r>
        <w:rPr>
          <w:rFonts w:ascii="Times New Roman" w:hAnsi="Times New Roman" w:eastAsia="宋体" w:cs="Times New Roman"/>
          <w:sz w:val="28"/>
          <w:szCs w:val="28"/>
        </w:rPr>
        <w:t>林三维地力提升技术的研发做出了突出贡献。</w:t>
      </w:r>
    </w:p>
    <w:p w14:paraId="5E842F5A">
      <w:pPr>
        <w:pStyle w:val="14"/>
        <w:spacing w:line="360" w:lineRule="auto"/>
        <w:ind w:firstLine="0" w:firstLineChars="0"/>
        <w:rPr>
          <w:rFonts w:ascii="Times New Roman" w:hAnsi="Times New Roman" w:eastAsia="宋体" w:cs="Times New Roman"/>
          <w:sz w:val="28"/>
          <w:szCs w:val="28"/>
        </w:rPr>
      </w:pPr>
      <w:r>
        <w:rPr>
          <w:rFonts w:hint="eastAsia" w:ascii="Times New Roman" w:hAnsi="Times New Roman" w:eastAsia="宋体" w:cs="Times New Roman"/>
          <w:sz w:val="28"/>
          <w:szCs w:val="28"/>
        </w:rPr>
        <w:t>7</w:t>
      </w:r>
      <w:r>
        <w:rPr>
          <w:rFonts w:ascii="Times New Roman" w:hAnsi="Times New Roman" w:eastAsia="宋体" w:cs="Times New Roman"/>
          <w:sz w:val="28"/>
          <w:szCs w:val="28"/>
        </w:rPr>
        <w:t>. 王方超：</w:t>
      </w:r>
      <w:r>
        <w:rPr>
          <w:rFonts w:hint="eastAsia" w:ascii="Times New Roman" w:hAnsi="Times New Roman" w:eastAsia="宋体" w:cs="Times New Roman"/>
          <w:sz w:val="28"/>
          <w:szCs w:val="28"/>
        </w:rPr>
        <w:t>男</w:t>
      </w:r>
      <w:r>
        <w:rPr>
          <w:rFonts w:ascii="Times New Roman" w:hAnsi="Times New Roman" w:eastAsia="宋体" w:cs="Times New Roman"/>
          <w:sz w:val="28"/>
          <w:szCs w:val="28"/>
        </w:rPr>
        <w:t>，</w:t>
      </w:r>
      <w:r>
        <w:rPr>
          <w:rFonts w:hint="eastAsia" w:ascii="Times New Roman" w:hAnsi="Times New Roman" w:eastAsia="宋体" w:cs="Times New Roman"/>
          <w:sz w:val="28"/>
          <w:szCs w:val="28"/>
        </w:rPr>
        <w:t>江西农业大学讲师</w:t>
      </w:r>
      <w:r>
        <w:rPr>
          <w:rFonts w:ascii="Times New Roman" w:hAnsi="Times New Roman" w:eastAsia="宋体" w:cs="Times New Roman"/>
          <w:sz w:val="28"/>
          <w:szCs w:val="28"/>
        </w:rPr>
        <w:t>/硕导。</w:t>
      </w:r>
      <w:bookmarkStart w:id="0" w:name="_Hlk113975402"/>
      <w:r>
        <w:rPr>
          <w:rFonts w:ascii="Times New Roman" w:hAnsi="Times New Roman" w:eastAsia="宋体" w:cs="Times New Roman"/>
          <w:sz w:val="28"/>
          <w:szCs w:val="28"/>
        </w:rPr>
        <w:t>第</w:t>
      </w:r>
      <w:r>
        <w:rPr>
          <w:rFonts w:hint="eastAsia" w:ascii="Times New Roman" w:hAnsi="Times New Roman" w:eastAsia="宋体" w:cs="Times New Roman"/>
          <w:sz w:val="28"/>
          <w:szCs w:val="28"/>
        </w:rPr>
        <w:t>7</w:t>
      </w:r>
      <w:r>
        <w:rPr>
          <w:rFonts w:ascii="Times New Roman" w:hAnsi="Times New Roman" w:eastAsia="宋体" w:cs="Times New Roman"/>
          <w:sz w:val="28"/>
          <w:szCs w:val="28"/>
        </w:rPr>
        <w:t>完成人。</w:t>
      </w:r>
      <w:bookmarkEnd w:id="0"/>
      <w:r>
        <w:rPr>
          <w:rFonts w:ascii="Times New Roman" w:hAnsi="Times New Roman" w:eastAsia="宋体" w:cs="Times New Roman"/>
          <w:sz w:val="28"/>
          <w:szCs w:val="28"/>
        </w:rPr>
        <w:t>主要贡献：</w:t>
      </w:r>
      <w:r>
        <w:rPr>
          <w:rFonts w:hint="eastAsia" w:ascii="Times New Roman" w:hAnsi="Times New Roman" w:eastAsia="宋体" w:cs="Times New Roman"/>
          <w:sz w:val="28"/>
          <w:szCs w:val="28"/>
        </w:rPr>
        <w:t>负责</w:t>
      </w:r>
      <w:r>
        <w:rPr>
          <w:rFonts w:ascii="Times New Roman" w:hAnsi="Times New Roman" w:eastAsia="宋体" w:cs="Times New Roman"/>
          <w:sz w:val="28"/>
          <w:szCs w:val="28"/>
        </w:rPr>
        <w:t>林下植被管理对杉木人工林养分循环过程的影响研究，为</w:t>
      </w:r>
      <w:r>
        <w:rPr>
          <w:rFonts w:hint="eastAsia" w:ascii="Times New Roman" w:hAnsi="Times New Roman" w:eastAsia="宋体" w:cs="Times New Roman"/>
          <w:sz w:val="28"/>
          <w:szCs w:val="28"/>
        </w:rPr>
        <w:t>针叶</w:t>
      </w:r>
      <w:r>
        <w:rPr>
          <w:rFonts w:ascii="Times New Roman" w:hAnsi="Times New Roman" w:eastAsia="宋体" w:cs="Times New Roman"/>
          <w:sz w:val="28"/>
          <w:szCs w:val="28"/>
        </w:rPr>
        <w:t>林林下植被经营管理技术研发提供数据支撑</w:t>
      </w:r>
      <w:r>
        <w:rPr>
          <w:rFonts w:hint="eastAsia" w:ascii="Times New Roman" w:hAnsi="Times New Roman" w:eastAsia="宋体" w:cs="Times New Roman"/>
          <w:sz w:val="28"/>
          <w:szCs w:val="28"/>
        </w:rPr>
        <w:t>，</w:t>
      </w:r>
      <w:r>
        <w:rPr>
          <w:rFonts w:ascii="Times New Roman" w:hAnsi="Times New Roman" w:eastAsia="宋体" w:cs="Times New Roman"/>
          <w:sz w:val="28"/>
          <w:szCs w:val="28"/>
        </w:rPr>
        <w:t>主要对项目三维地力提升技术研发做出了贡献。</w:t>
      </w:r>
    </w:p>
    <w:p w14:paraId="224ABB47">
      <w:pPr>
        <w:pStyle w:val="14"/>
        <w:spacing w:line="360" w:lineRule="auto"/>
        <w:ind w:firstLine="0" w:firstLineChars="0"/>
        <w:rPr>
          <w:rFonts w:ascii="Times New Roman" w:hAnsi="Times New Roman" w:eastAsia="宋体" w:cs="Times New Roman"/>
          <w:sz w:val="28"/>
          <w:szCs w:val="28"/>
        </w:rPr>
      </w:pPr>
      <w:r>
        <w:rPr>
          <w:rFonts w:hint="eastAsia" w:ascii="Times New Roman" w:hAnsi="Times New Roman" w:eastAsia="宋体" w:cs="Times New Roman"/>
          <w:sz w:val="28"/>
          <w:szCs w:val="28"/>
        </w:rPr>
        <w:t>8</w:t>
      </w:r>
      <w:r>
        <w:rPr>
          <w:rFonts w:ascii="Times New Roman" w:hAnsi="Times New Roman" w:eastAsia="宋体" w:cs="Times New Roman"/>
          <w:sz w:val="28"/>
          <w:szCs w:val="28"/>
        </w:rPr>
        <w:t>. 林洪：男，江西省林业科学院</w:t>
      </w:r>
      <w:r>
        <w:rPr>
          <w:rFonts w:hint="eastAsia" w:ascii="Times New Roman" w:hAnsi="Times New Roman" w:eastAsia="宋体" w:cs="Times New Roman"/>
          <w:sz w:val="28"/>
          <w:szCs w:val="28"/>
        </w:rPr>
        <w:t>高级工程师</w:t>
      </w:r>
      <w:r>
        <w:rPr>
          <w:rFonts w:ascii="Times New Roman" w:hAnsi="Times New Roman" w:eastAsia="宋体" w:cs="Times New Roman"/>
          <w:sz w:val="28"/>
          <w:szCs w:val="28"/>
        </w:rPr>
        <w:t>。第</w:t>
      </w:r>
      <w:r>
        <w:rPr>
          <w:rFonts w:hint="eastAsia" w:ascii="Times New Roman" w:hAnsi="Times New Roman" w:eastAsia="宋体" w:cs="Times New Roman"/>
          <w:sz w:val="28"/>
          <w:szCs w:val="28"/>
        </w:rPr>
        <w:t>8</w:t>
      </w:r>
      <w:r>
        <w:rPr>
          <w:rFonts w:ascii="Times New Roman" w:hAnsi="Times New Roman" w:eastAsia="宋体" w:cs="Times New Roman"/>
          <w:sz w:val="28"/>
          <w:szCs w:val="28"/>
        </w:rPr>
        <w:t>完成人。主要贡献：</w:t>
      </w:r>
      <w:r>
        <w:rPr>
          <w:rFonts w:hint="eastAsia" w:ascii="Times New Roman" w:hAnsi="Times New Roman" w:eastAsia="宋体" w:cs="Times New Roman"/>
          <w:sz w:val="28"/>
          <w:szCs w:val="28"/>
        </w:rPr>
        <w:t>主要</w:t>
      </w:r>
      <w:r>
        <w:rPr>
          <w:rFonts w:ascii="Times New Roman" w:hAnsi="Times New Roman" w:eastAsia="宋体" w:cs="Times New Roman"/>
          <w:sz w:val="28"/>
          <w:szCs w:val="28"/>
        </w:rPr>
        <w:t>开展了低效</w:t>
      </w:r>
      <w:r>
        <w:rPr>
          <w:rFonts w:hint="eastAsia" w:ascii="Times New Roman" w:hAnsi="Times New Roman" w:eastAsia="宋体" w:cs="Times New Roman"/>
          <w:sz w:val="28"/>
          <w:szCs w:val="28"/>
        </w:rPr>
        <w:t>针叶</w:t>
      </w:r>
      <w:r>
        <w:rPr>
          <w:rFonts w:ascii="Times New Roman" w:hAnsi="Times New Roman" w:eastAsia="宋体" w:cs="Times New Roman"/>
          <w:sz w:val="28"/>
          <w:szCs w:val="28"/>
        </w:rPr>
        <w:t>林水源涵养</w:t>
      </w:r>
      <w:r>
        <w:rPr>
          <w:rFonts w:hint="eastAsia" w:ascii="Times New Roman" w:hAnsi="Times New Roman" w:eastAsia="宋体" w:cs="Times New Roman"/>
          <w:sz w:val="28"/>
          <w:szCs w:val="28"/>
        </w:rPr>
        <w:t>功能</w:t>
      </w:r>
      <w:r>
        <w:rPr>
          <w:rFonts w:ascii="Times New Roman" w:hAnsi="Times New Roman" w:eastAsia="宋体" w:cs="Times New Roman"/>
          <w:sz w:val="28"/>
          <w:szCs w:val="28"/>
        </w:rPr>
        <w:t>提升技术的研究工作。</w:t>
      </w:r>
      <w:r>
        <w:rPr>
          <w:rFonts w:hint="eastAsia" w:ascii="Times New Roman" w:hAnsi="Times New Roman" w:eastAsia="宋体" w:cs="Times New Roman"/>
          <w:sz w:val="28"/>
          <w:szCs w:val="28"/>
        </w:rPr>
        <w:t>参与提出了</w:t>
      </w:r>
      <w:r>
        <w:rPr>
          <w:rFonts w:ascii="Times New Roman" w:hAnsi="Times New Roman" w:eastAsia="宋体" w:cs="Times New Roman"/>
          <w:sz w:val="28"/>
          <w:szCs w:val="28"/>
        </w:rPr>
        <w:t>木材高产、服务高效、收益高值的人工针叶林功能提升技术</w:t>
      </w:r>
      <w:r>
        <w:rPr>
          <w:rFonts w:hint="eastAsia" w:ascii="Times New Roman" w:hAnsi="Times New Roman" w:eastAsia="宋体" w:cs="Times New Roman"/>
          <w:sz w:val="28"/>
          <w:szCs w:val="28"/>
        </w:rPr>
        <w:t>。</w:t>
      </w:r>
    </w:p>
    <w:p w14:paraId="4E529CE2">
      <w:pPr>
        <w:pStyle w:val="14"/>
        <w:spacing w:line="360" w:lineRule="auto"/>
        <w:ind w:firstLine="0" w:firstLineChars="0"/>
        <w:rPr>
          <w:rFonts w:ascii="Times New Roman" w:hAnsi="Times New Roman" w:eastAsia="宋体" w:cs="Times New Roman"/>
          <w:sz w:val="28"/>
          <w:szCs w:val="28"/>
        </w:rPr>
      </w:pPr>
      <w:r>
        <w:rPr>
          <w:rFonts w:hint="eastAsia" w:ascii="Times New Roman" w:hAnsi="Times New Roman" w:eastAsia="宋体" w:cs="Times New Roman"/>
          <w:sz w:val="28"/>
          <w:szCs w:val="28"/>
        </w:rPr>
        <w:t>9</w:t>
      </w:r>
      <w:r>
        <w:rPr>
          <w:rFonts w:ascii="Times New Roman" w:hAnsi="Times New Roman" w:eastAsia="宋体" w:cs="Times New Roman"/>
          <w:sz w:val="28"/>
          <w:szCs w:val="28"/>
        </w:rPr>
        <w:t>. 刘牧：男，江西农业大学</w:t>
      </w:r>
      <w:r>
        <w:rPr>
          <w:rFonts w:hint="eastAsia" w:ascii="Times New Roman" w:hAnsi="Times New Roman" w:eastAsia="宋体" w:cs="Times New Roman"/>
          <w:sz w:val="28"/>
          <w:szCs w:val="28"/>
        </w:rPr>
        <w:t>副教授</w:t>
      </w:r>
      <w:r>
        <w:rPr>
          <w:rFonts w:ascii="Times New Roman" w:hAnsi="Times New Roman" w:eastAsia="宋体" w:cs="Times New Roman"/>
          <w:sz w:val="28"/>
          <w:szCs w:val="28"/>
        </w:rPr>
        <w:t>。第</w:t>
      </w:r>
      <w:r>
        <w:rPr>
          <w:rFonts w:hint="eastAsia" w:ascii="Times New Roman" w:hAnsi="Times New Roman" w:eastAsia="宋体" w:cs="Times New Roman"/>
          <w:sz w:val="28"/>
          <w:szCs w:val="28"/>
        </w:rPr>
        <w:t>9</w:t>
      </w:r>
      <w:r>
        <w:rPr>
          <w:rFonts w:ascii="Times New Roman" w:hAnsi="Times New Roman" w:eastAsia="宋体" w:cs="Times New Roman"/>
          <w:sz w:val="28"/>
          <w:szCs w:val="28"/>
        </w:rPr>
        <w:t>完成人。主要贡献：负责人工针叶林高产高效协同智慧经营技术研究，结合智慧林业管理与互联网技术，为该项目的定向培育和信息化管理提供了技术支撑。</w:t>
      </w:r>
    </w:p>
    <w:p w14:paraId="1C2954BB">
      <w:pPr>
        <w:pStyle w:val="14"/>
        <w:spacing w:line="360" w:lineRule="auto"/>
        <w:ind w:firstLine="0" w:firstLineChars="0"/>
        <w:rPr>
          <w:rFonts w:ascii="Times New Roman" w:hAnsi="Times New Roman" w:eastAsia="宋体" w:cs="Times New Roman"/>
          <w:sz w:val="28"/>
          <w:szCs w:val="28"/>
        </w:rPr>
      </w:pPr>
      <w:r>
        <w:rPr>
          <w:rFonts w:hint="eastAsia" w:ascii="Times New Roman" w:hAnsi="Times New Roman" w:eastAsia="宋体" w:cs="Times New Roman"/>
          <w:sz w:val="28"/>
          <w:szCs w:val="28"/>
        </w:rPr>
        <w:t>10</w:t>
      </w:r>
      <w:r>
        <w:rPr>
          <w:rFonts w:ascii="Times New Roman" w:hAnsi="Times New Roman" w:eastAsia="宋体" w:cs="Times New Roman"/>
          <w:sz w:val="28"/>
          <w:szCs w:val="28"/>
        </w:rPr>
        <w:t>. 杨桦：女，江西省林业科学院</w:t>
      </w:r>
      <w:r>
        <w:rPr>
          <w:rFonts w:hint="eastAsia" w:ascii="Times New Roman" w:hAnsi="Times New Roman" w:eastAsia="宋体" w:cs="Times New Roman"/>
          <w:sz w:val="28"/>
          <w:szCs w:val="28"/>
        </w:rPr>
        <w:t>副</w:t>
      </w:r>
      <w:r>
        <w:rPr>
          <w:rFonts w:ascii="Times New Roman" w:hAnsi="Times New Roman" w:eastAsia="宋体" w:cs="Times New Roman"/>
          <w:sz w:val="28"/>
          <w:szCs w:val="28"/>
        </w:rPr>
        <w:t>研究员。第</w:t>
      </w:r>
      <w:r>
        <w:rPr>
          <w:rFonts w:hint="eastAsia" w:ascii="Times New Roman" w:hAnsi="Times New Roman" w:eastAsia="宋体" w:cs="Times New Roman"/>
          <w:sz w:val="28"/>
          <w:szCs w:val="28"/>
        </w:rPr>
        <w:t>10</w:t>
      </w:r>
      <w:r>
        <w:rPr>
          <w:rFonts w:ascii="Times New Roman" w:hAnsi="Times New Roman" w:eastAsia="宋体" w:cs="Times New Roman"/>
          <w:sz w:val="28"/>
          <w:szCs w:val="28"/>
        </w:rPr>
        <w:t>完成人。主要贡献：</w:t>
      </w:r>
      <w:r>
        <w:rPr>
          <w:rFonts w:hint="eastAsia" w:ascii="Times New Roman" w:hAnsi="Times New Roman" w:eastAsia="宋体" w:cs="Times New Roman"/>
          <w:sz w:val="28"/>
          <w:szCs w:val="28"/>
        </w:rPr>
        <w:t>参与</w:t>
      </w:r>
      <w:r>
        <w:rPr>
          <w:rFonts w:ascii="Times New Roman" w:hAnsi="Times New Roman" w:eastAsia="宋体" w:cs="Times New Roman"/>
          <w:sz w:val="28"/>
          <w:szCs w:val="28"/>
        </w:rPr>
        <w:t>项目的调查、数据整理与技术推广等工作。提出了马尾松林林相改造技术模式；开展了低效林改造技术与水土保持效应研究</w:t>
      </w:r>
      <w:r>
        <w:rPr>
          <w:rFonts w:hint="eastAsia" w:ascii="Times New Roman" w:hAnsi="Times New Roman" w:eastAsia="宋体" w:cs="Times New Roman"/>
          <w:sz w:val="28"/>
          <w:szCs w:val="28"/>
        </w:rPr>
        <w:t>，</w:t>
      </w:r>
      <w:r>
        <w:rPr>
          <w:rFonts w:ascii="Times New Roman" w:hAnsi="Times New Roman" w:eastAsia="宋体" w:cs="Times New Roman"/>
          <w:sz w:val="28"/>
          <w:szCs w:val="28"/>
        </w:rPr>
        <w:t>参与完成了《低产低效针叶林改造技术规程》的编制。</w:t>
      </w:r>
    </w:p>
    <w:p w14:paraId="0FBC19DF">
      <w:pPr>
        <w:pStyle w:val="14"/>
        <w:spacing w:line="360" w:lineRule="auto"/>
        <w:ind w:firstLine="0" w:firstLineChars="0"/>
        <w:rPr>
          <w:rFonts w:ascii="Times New Roman" w:hAnsi="Times New Roman" w:eastAsia="宋体" w:cs="Times New Roman"/>
          <w:sz w:val="28"/>
          <w:szCs w:val="28"/>
        </w:rPr>
      </w:pPr>
      <w:r>
        <w:rPr>
          <w:rFonts w:hint="eastAsia" w:ascii="Times New Roman" w:hAnsi="Times New Roman" w:eastAsia="宋体" w:cs="Times New Roman"/>
          <w:sz w:val="28"/>
          <w:szCs w:val="28"/>
        </w:rPr>
        <w:t>11</w:t>
      </w:r>
      <w:r>
        <w:rPr>
          <w:rFonts w:ascii="Times New Roman" w:hAnsi="Times New Roman" w:eastAsia="宋体" w:cs="Times New Roman"/>
          <w:sz w:val="28"/>
          <w:szCs w:val="28"/>
        </w:rPr>
        <w:t>. 唐星林：男，江西省林业科学院</w:t>
      </w:r>
      <w:r>
        <w:rPr>
          <w:rFonts w:hint="eastAsia" w:ascii="Times New Roman" w:hAnsi="Times New Roman" w:eastAsia="宋体" w:cs="Times New Roman"/>
          <w:sz w:val="28"/>
          <w:szCs w:val="28"/>
        </w:rPr>
        <w:t>副</w:t>
      </w:r>
      <w:r>
        <w:rPr>
          <w:rFonts w:ascii="Times New Roman" w:hAnsi="Times New Roman" w:eastAsia="宋体" w:cs="Times New Roman"/>
          <w:sz w:val="28"/>
          <w:szCs w:val="28"/>
        </w:rPr>
        <w:t>研究员。第1</w:t>
      </w:r>
      <w:r>
        <w:rPr>
          <w:rFonts w:hint="eastAsia" w:ascii="Times New Roman" w:hAnsi="Times New Roman" w:eastAsia="宋体" w:cs="Times New Roman"/>
          <w:sz w:val="28"/>
          <w:szCs w:val="28"/>
        </w:rPr>
        <w:t>1</w:t>
      </w:r>
      <w:r>
        <w:rPr>
          <w:rFonts w:ascii="Times New Roman" w:hAnsi="Times New Roman" w:eastAsia="宋体" w:cs="Times New Roman"/>
          <w:sz w:val="28"/>
          <w:szCs w:val="28"/>
        </w:rPr>
        <w:t>完成人。主要贡献：完成了人工针叶林</w:t>
      </w:r>
      <w:r>
        <w:rPr>
          <w:rFonts w:hint="eastAsia" w:ascii="Times New Roman" w:hAnsi="Times New Roman" w:eastAsia="宋体" w:cs="Times New Roman"/>
          <w:sz w:val="28"/>
          <w:szCs w:val="28"/>
        </w:rPr>
        <w:t>结构调控配置树种</w:t>
      </w:r>
      <w:r>
        <w:rPr>
          <w:rFonts w:ascii="Times New Roman" w:hAnsi="Times New Roman" w:eastAsia="宋体" w:cs="Times New Roman"/>
          <w:sz w:val="28"/>
          <w:szCs w:val="28"/>
        </w:rPr>
        <w:t>光能利用特性的研究</w:t>
      </w:r>
      <w:r>
        <w:rPr>
          <w:rFonts w:hint="eastAsia" w:ascii="Times New Roman" w:hAnsi="Times New Roman" w:eastAsia="宋体" w:cs="Times New Roman"/>
          <w:sz w:val="28"/>
          <w:szCs w:val="28"/>
        </w:rPr>
        <w:t>与技术推广</w:t>
      </w:r>
      <w:r>
        <w:rPr>
          <w:rFonts w:ascii="Times New Roman" w:hAnsi="Times New Roman" w:eastAsia="宋体" w:cs="Times New Roman"/>
          <w:sz w:val="28"/>
          <w:szCs w:val="28"/>
        </w:rPr>
        <w:t>工作，为本项目成果推广提供</w:t>
      </w:r>
      <w:r>
        <w:rPr>
          <w:rFonts w:hint="eastAsia" w:ascii="Times New Roman" w:hAnsi="Times New Roman" w:eastAsia="宋体" w:cs="Times New Roman"/>
          <w:sz w:val="28"/>
          <w:szCs w:val="28"/>
        </w:rPr>
        <w:t>了</w:t>
      </w:r>
      <w:r>
        <w:rPr>
          <w:rFonts w:ascii="Times New Roman" w:hAnsi="Times New Roman" w:eastAsia="宋体" w:cs="Times New Roman"/>
          <w:sz w:val="28"/>
          <w:szCs w:val="28"/>
        </w:rPr>
        <w:t>重要理论依据。</w:t>
      </w:r>
    </w:p>
    <w:p w14:paraId="19780FA6">
      <w:pPr>
        <w:pStyle w:val="14"/>
        <w:spacing w:line="360" w:lineRule="auto"/>
        <w:ind w:firstLine="0" w:firstLineChars="0"/>
        <w:rPr>
          <w:rFonts w:ascii="Times New Roman" w:hAnsi="Times New Roman" w:eastAsia="宋体" w:cs="Times New Roman"/>
          <w:sz w:val="28"/>
          <w:szCs w:val="28"/>
        </w:rPr>
      </w:pPr>
      <w:r>
        <w:rPr>
          <w:rFonts w:ascii="Times New Roman" w:hAnsi="Times New Roman" w:eastAsia="宋体" w:cs="Times New Roman"/>
          <w:sz w:val="28"/>
          <w:szCs w:val="28"/>
        </w:rPr>
        <w:t>1</w:t>
      </w:r>
      <w:r>
        <w:rPr>
          <w:rFonts w:hint="eastAsia" w:ascii="Times New Roman" w:hAnsi="Times New Roman" w:eastAsia="宋体" w:cs="Times New Roman"/>
          <w:sz w:val="28"/>
          <w:szCs w:val="28"/>
        </w:rPr>
        <w:t>2</w:t>
      </w:r>
      <w:r>
        <w:rPr>
          <w:rFonts w:ascii="Times New Roman" w:hAnsi="Times New Roman" w:eastAsia="宋体" w:cs="Times New Roman"/>
          <w:sz w:val="28"/>
          <w:szCs w:val="28"/>
        </w:rPr>
        <w:t>. 叶学敏：男，江西省林业科学院助理研究员。第1</w:t>
      </w:r>
      <w:r>
        <w:rPr>
          <w:rFonts w:hint="eastAsia" w:ascii="Times New Roman" w:hAnsi="Times New Roman" w:eastAsia="宋体" w:cs="Times New Roman"/>
          <w:sz w:val="28"/>
          <w:szCs w:val="28"/>
        </w:rPr>
        <w:t>2</w:t>
      </w:r>
      <w:r>
        <w:rPr>
          <w:rFonts w:ascii="Times New Roman" w:hAnsi="Times New Roman" w:eastAsia="宋体" w:cs="Times New Roman"/>
          <w:sz w:val="28"/>
          <w:szCs w:val="28"/>
        </w:rPr>
        <w:t>位完成人。主要贡献：参与了</w:t>
      </w:r>
      <w:r>
        <w:rPr>
          <w:rFonts w:hint="eastAsia" w:ascii="Times New Roman" w:hAnsi="Times New Roman" w:eastAsia="宋体" w:cs="Times New Roman"/>
          <w:sz w:val="28"/>
          <w:szCs w:val="28"/>
        </w:rPr>
        <w:t>杉木人工林提质增效相关技术研究</w:t>
      </w:r>
      <w:r>
        <w:rPr>
          <w:rFonts w:ascii="Times New Roman" w:hAnsi="Times New Roman" w:eastAsia="宋体" w:cs="Times New Roman"/>
          <w:sz w:val="28"/>
          <w:szCs w:val="28"/>
        </w:rPr>
        <w:t>，阐明了生态化学计量与养分回收调控人工林物质循环的机理，为人工林提质增效技术研发提供理论基础</w:t>
      </w:r>
      <w:r>
        <w:rPr>
          <w:rFonts w:hint="eastAsia" w:ascii="Times New Roman" w:hAnsi="Times New Roman" w:eastAsia="宋体" w:cs="Times New Roman"/>
          <w:sz w:val="28"/>
          <w:szCs w:val="28"/>
        </w:rPr>
        <w:t>。</w:t>
      </w:r>
    </w:p>
    <w:p w14:paraId="5AD21AB4">
      <w:pPr>
        <w:pStyle w:val="14"/>
        <w:spacing w:line="360" w:lineRule="auto"/>
        <w:ind w:firstLine="0" w:firstLineChars="0"/>
        <w:rPr>
          <w:rFonts w:ascii="Times New Roman" w:hAnsi="Times New Roman" w:eastAsia="宋体" w:cs="Times New Roman"/>
          <w:sz w:val="28"/>
          <w:szCs w:val="28"/>
        </w:rPr>
      </w:pPr>
      <w:r>
        <w:rPr>
          <w:rFonts w:hint="eastAsia" w:ascii="Times New Roman" w:hAnsi="Times New Roman" w:eastAsia="宋体" w:cs="Times New Roman"/>
          <w:sz w:val="28"/>
          <w:szCs w:val="28"/>
        </w:rPr>
        <w:t>13</w:t>
      </w:r>
      <w:r>
        <w:rPr>
          <w:rFonts w:ascii="Times New Roman" w:hAnsi="Times New Roman" w:eastAsia="宋体" w:cs="Times New Roman"/>
          <w:sz w:val="28"/>
          <w:szCs w:val="28"/>
        </w:rPr>
        <w:t xml:space="preserve">. </w:t>
      </w:r>
      <w:r>
        <w:rPr>
          <w:rFonts w:hint="eastAsia" w:ascii="Times New Roman" w:hAnsi="Times New Roman" w:eastAsia="宋体" w:cs="Times New Roman"/>
          <w:sz w:val="28"/>
          <w:szCs w:val="28"/>
        </w:rPr>
        <w:t>卜文圣</w:t>
      </w:r>
      <w:r>
        <w:rPr>
          <w:rFonts w:ascii="Times New Roman" w:hAnsi="Times New Roman" w:eastAsia="宋体" w:cs="Times New Roman"/>
          <w:sz w:val="28"/>
          <w:szCs w:val="28"/>
        </w:rPr>
        <w:t>：男，江西</w:t>
      </w:r>
      <w:r>
        <w:rPr>
          <w:rFonts w:hint="eastAsia" w:ascii="Times New Roman" w:hAnsi="Times New Roman" w:eastAsia="宋体" w:cs="Times New Roman"/>
          <w:sz w:val="28"/>
          <w:szCs w:val="28"/>
        </w:rPr>
        <w:t>农业大学副研究员/硕导</w:t>
      </w:r>
      <w:r>
        <w:rPr>
          <w:rFonts w:ascii="Times New Roman" w:hAnsi="Times New Roman" w:eastAsia="宋体" w:cs="Times New Roman"/>
          <w:sz w:val="28"/>
          <w:szCs w:val="28"/>
        </w:rPr>
        <w:t>。第</w:t>
      </w:r>
      <w:r>
        <w:rPr>
          <w:rFonts w:hint="eastAsia" w:ascii="Times New Roman" w:hAnsi="Times New Roman" w:eastAsia="宋体" w:cs="Times New Roman"/>
          <w:sz w:val="28"/>
          <w:szCs w:val="28"/>
        </w:rPr>
        <w:t>13</w:t>
      </w:r>
      <w:r>
        <w:rPr>
          <w:rFonts w:ascii="Times New Roman" w:hAnsi="Times New Roman" w:eastAsia="宋体" w:cs="Times New Roman"/>
          <w:sz w:val="28"/>
          <w:szCs w:val="28"/>
        </w:rPr>
        <w:t>完成人。主要贡献：开展了杉木</w:t>
      </w:r>
      <w:r>
        <w:rPr>
          <w:rFonts w:hint="eastAsia" w:ascii="Times New Roman" w:hAnsi="Times New Roman" w:eastAsia="宋体" w:cs="Times New Roman"/>
          <w:sz w:val="28"/>
          <w:szCs w:val="28"/>
        </w:rPr>
        <w:t>人工林养分调控和</w:t>
      </w:r>
      <w:r>
        <w:rPr>
          <w:rFonts w:ascii="Times New Roman" w:hAnsi="Times New Roman" w:eastAsia="宋体" w:cs="Times New Roman"/>
          <w:sz w:val="28"/>
          <w:szCs w:val="28"/>
        </w:rPr>
        <w:t>生产力提升技术研究</w:t>
      </w:r>
      <w:r>
        <w:rPr>
          <w:rFonts w:hint="eastAsia" w:ascii="Times New Roman" w:hAnsi="Times New Roman" w:eastAsia="宋体" w:cs="Times New Roman"/>
          <w:sz w:val="28"/>
          <w:szCs w:val="28"/>
        </w:rPr>
        <w:t>，为</w:t>
      </w:r>
      <w:r>
        <w:rPr>
          <w:rFonts w:ascii="Times New Roman" w:hAnsi="Times New Roman" w:eastAsia="宋体" w:cs="Times New Roman"/>
          <w:sz w:val="28"/>
          <w:szCs w:val="28"/>
        </w:rPr>
        <w:t>低效</w:t>
      </w:r>
      <w:r>
        <w:rPr>
          <w:rFonts w:hint="eastAsia" w:ascii="Times New Roman" w:hAnsi="Times New Roman" w:eastAsia="宋体" w:cs="Times New Roman"/>
          <w:sz w:val="28"/>
          <w:szCs w:val="28"/>
        </w:rPr>
        <w:t>针叶</w:t>
      </w:r>
      <w:r>
        <w:rPr>
          <w:rFonts w:ascii="Times New Roman" w:hAnsi="Times New Roman" w:eastAsia="宋体" w:cs="Times New Roman"/>
          <w:sz w:val="28"/>
          <w:szCs w:val="28"/>
        </w:rPr>
        <w:t>地力维持技术</w:t>
      </w:r>
      <w:r>
        <w:rPr>
          <w:rFonts w:hint="eastAsia" w:ascii="Times New Roman" w:hAnsi="Times New Roman" w:eastAsia="宋体" w:cs="Times New Roman"/>
          <w:sz w:val="28"/>
          <w:szCs w:val="28"/>
        </w:rPr>
        <w:t>研发提供数据支持。</w:t>
      </w:r>
    </w:p>
    <w:p w14:paraId="3F00FBEA">
      <w:pPr>
        <w:pStyle w:val="14"/>
        <w:spacing w:line="360" w:lineRule="auto"/>
        <w:ind w:firstLine="0" w:firstLineChars="0"/>
        <w:rPr>
          <w:rFonts w:ascii="Times New Roman" w:hAnsi="Times New Roman" w:eastAsia="宋体" w:cs="Times New Roman"/>
          <w:sz w:val="28"/>
          <w:szCs w:val="28"/>
        </w:rPr>
      </w:pPr>
      <w:r>
        <w:rPr>
          <w:rFonts w:hint="eastAsia" w:ascii="Times New Roman" w:hAnsi="Times New Roman" w:eastAsia="宋体" w:cs="Times New Roman"/>
          <w:sz w:val="28"/>
          <w:szCs w:val="28"/>
        </w:rPr>
        <w:t>14</w:t>
      </w:r>
      <w:r>
        <w:rPr>
          <w:rFonts w:ascii="Times New Roman" w:hAnsi="Times New Roman" w:eastAsia="宋体" w:cs="Times New Roman"/>
          <w:sz w:val="28"/>
          <w:szCs w:val="28"/>
        </w:rPr>
        <w:t xml:space="preserve">. </w:t>
      </w:r>
      <w:r>
        <w:rPr>
          <w:rFonts w:hint="eastAsia" w:ascii="Times New Roman" w:hAnsi="Times New Roman" w:eastAsia="宋体" w:cs="Times New Roman"/>
          <w:sz w:val="28"/>
          <w:szCs w:val="28"/>
        </w:rPr>
        <w:t>孙荣喜</w:t>
      </w:r>
      <w:r>
        <w:rPr>
          <w:rFonts w:ascii="Times New Roman" w:hAnsi="Times New Roman" w:eastAsia="宋体" w:cs="Times New Roman"/>
          <w:sz w:val="28"/>
          <w:szCs w:val="28"/>
        </w:rPr>
        <w:t>：</w:t>
      </w:r>
      <w:r>
        <w:rPr>
          <w:rFonts w:hint="eastAsia" w:ascii="Times New Roman" w:hAnsi="Times New Roman" w:eastAsia="宋体" w:cs="Times New Roman"/>
          <w:sz w:val="28"/>
          <w:szCs w:val="28"/>
        </w:rPr>
        <w:t>女</w:t>
      </w:r>
      <w:r>
        <w:rPr>
          <w:rFonts w:ascii="Times New Roman" w:hAnsi="Times New Roman" w:eastAsia="宋体" w:cs="Times New Roman"/>
          <w:sz w:val="28"/>
          <w:szCs w:val="28"/>
        </w:rPr>
        <w:t>，江西</w:t>
      </w:r>
      <w:r>
        <w:rPr>
          <w:rFonts w:hint="eastAsia" w:ascii="Times New Roman" w:hAnsi="Times New Roman" w:eastAsia="宋体" w:cs="Times New Roman"/>
          <w:sz w:val="28"/>
          <w:szCs w:val="28"/>
        </w:rPr>
        <w:t>农业大学副研究员/硕导</w:t>
      </w:r>
      <w:r>
        <w:rPr>
          <w:rFonts w:ascii="Times New Roman" w:hAnsi="Times New Roman" w:eastAsia="宋体" w:cs="Times New Roman"/>
          <w:sz w:val="28"/>
          <w:szCs w:val="28"/>
        </w:rPr>
        <w:t>。第</w:t>
      </w:r>
      <w:r>
        <w:rPr>
          <w:rFonts w:hint="eastAsia" w:ascii="Times New Roman" w:hAnsi="Times New Roman" w:eastAsia="宋体" w:cs="Times New Roman"/>
          <w:sz w:val="28"/>
          <w:szCs w:val="28"/>
        </w:rPr>
        <w:t>14</w:t>
      </w:r>
      <w:r>
        <w:rPr>
          <w:rFonts w:ascii="Times New Roman" w:hAnsi="Times New Roman" w:eastAsia="宋体" w:cs="Times New Roman"/>
          <w:sz w:val="28"/>
          <w:szCs w:val="28"/>
        </w:rPr>
        <w:t>完成人，主要贡献：负责地力-结构-功能“三维”协同的培育技术</w:t>
      </w:r>
      <w:r>
        <w:rPr>
          <w:rFonts w:hint="eastAsia" w:ascii="Times New Roman" w:hAnsi="Times New Roman" w:eastAsia="宋体" w:cs="Times New Roman"/>
          <w:sz w:val="28"/>
          <w:szCs w:val="28"/>
        </w:rPr>
        <w:t>等</w:t>
      </w:r>
      <w:r>
        <w:rPr>
          <w:rFonts w:ascii="Times New Roman" w:hAnsi="Times New Roman" w:eastAsia="宋体" w:cs="Times New Roman"/>
          <w:sz w:val="28"/>
          <w:szCs w:val="28"/>
        </w:rPr>
        <w:t>成果在低效</w:t>
      </w:r>
      <w:r>
        <w:rPr>
          <w:rFonts w:hint="eastAsia" w:ascii="Times New Roman" w:hAnsi="Times New Roman" w:eastAsia="宋体" w:cs="Times New Roman"/>
          <w:sz w:val="28"/>
          <w:szCs w:val="28"/>
        </w:rPr>
        <w:t>针叶</w:t>
      </w:r>
      <w:r>
        <w:rPr>
          <w:rFonts w:ascii="Times New Roman" w:hAnsi="Times New Roman" w:eastAsia="宋体" w:cs="Times New Roman"/>
          <w:sz w:val="28"/>
          <w:szCs w:val="28"/>
        </w:rPr>
        <w:t>林改造中</w:t>
      </w:r>
      <w:r>
        <w:rPr>
          <w:rFonts w:hint="eastAsia" w:ascii="Times New Roman" w:hAnsi="Times New Roman" w:eastAsia="宋体" w:cs="Times New Roman"/>
          <w:sz w:val="28"/>
          <w:szCs w:val="28"/>
        </w:rPr>
        <w:t>的</w:t>
      </w:r>
      <w:r>
        <w:rPr>
          <w:rFonts w:ascii="Times New Roman" w:hAnsi="Times New Roman" w:eastAsia="宋体" w:cs="Times New Roman"/>
          <w:sz w:val="28"/>
          <w:szCs w:val="28"/>
        </w:rPr>
        <w:t>应用</w:t>
      </w:r>
      <w:r>
        <w:rPr>
          <w:rFonts w:hint="eastAsia" w:ascii="Times New Roman" w:hAnsi="Times New Roman" w:eastAsia="宋体" w:cs="Times New Roman"/>
          <w:sz w:val="28"/>
          <w:szCs w:val="28"/>
        </w:rPr>
        <w:t>，参与</w:t>
      </w:r>
      <w:r>
        <w:rPr>
          <w:rFonts w:ascii="Times New Roman" w:hAnsi="Times New Roman" w:eastAsia="宋体" w:cs="Times New Roman"/>
          <w:sz w:val="28"/>
          <w:szCs w:val="28"/>
        </w:rPr>
        <w:t>提出了因地定林优能、因林提地增能、因能修地调林三种典型培育技术模式。</w:t>
      </w:r>
    </w:p>
    <w:p w14:paraId="7A40EDA3">
      <w:pPr>
        <w:pStyle w:val="14"/>
        <w:spacing w:line="360" w:lineRule="auto"/>
        <w:ind w:firstLine="0" w:firstLineChars="0"/>
        <w:rPr>
          <w:rFonts w:ascii="Times New Roman" w:hAnsi="Times New Roman" w:eastAsia="宋体" w:cs="Times New Roman"/>
          <w:sz w:val="28"/>
          <w:szCs w:val="28"/>
        </w:rPr>
      </w:pPr>
      <w:r>
        <w:rPr>
          <w:rFonts w:ascii="Times New Roman" w:hAnsi="Times New Roman" w:eastAsia="宋体" w:cs="Times New Roman"/>
          <w:sz w:val="28"/>
          <w:szCs w:val="28"/>
        </w:rPr>
        <w:t>1</w:t>
      </w:r>
      <w:r>
        <w:rPr>
          <w:rFonts w:hint="eastAsia" w:ascii="Times New Roman" w:hAnsi="Times New Roman" w:eastAsia="宋体" w:cs="Times New Roman"/>
          <w:sz w:val="28"/>
          <w:szCs w:val="28"/>
        </w:rPr>
        <w:t>5</w:t>
      </w:r>
      <w:r>
        <w:rPr>
          <w:rFonts w:ascii="Times New Roman" w:hAnsi="Times New Roman" w:eastAsia="宋体" w:cs="Times New Roman"/>
          <w:sz w:val="28"/>
          <w:szCs w:val="28"/>
        </w:rPr>
        <w:t xml:space="preserve">. </w:t>
      </w:r>
      <w:r>
        <w:rPr>
          <w:rFonts w:hint="eastAsia" w:ascii="Times New Roman" w:hAnsi="Times New Roman" w:eastAsia="宋体" w:cs="Times New Roman"/>
          <w:sz w:val="28"/>
          <w:szCs w:val="28"/>
        </w:rPr>
        <w:t>王小东：男</w:t>
      </w:r>
      <w:r>
        <w:rPr>
          <w:rFonts w:ascii="Times New Roman" w:hAnsi="Times New Roman" w:eastAsia="宋体" w:cs="Times New Roman"/>
          <w:sz w:val="28"/>
          <w:szCs w:val="28"/>
        </w:rPr>
        <w:t>，江西省林业科学院研究员。第1</w:t>
      </w:r>
      <w:r>
        <w:rPr>
          <w:rFonts w:hint="eastAsia" w:ascii="Times New Roman" w:hAnsi="Times New Roman" w:eastAsia="宋体" w:cs="Times New Roman"/>
          <w:sz w:val="28"/>
          <w:szCs w:val="28"/>
        </w:rPr>
        <w:t>5</w:t>
      </w:r>
      <w:r>
        <w:rPr>
          <w:rFonts w:ascii="Times New Roman" w:hAnsi="Times New Roman" w:eastAsia="宋体" w:cs="Times New Roman"/>
          <w:sz w:val="28"/>
          <w:szCs w:val="28"/>
        </w:rPr>
        <w:t>完成人。主要贡献</w:t>
      </w:r>
      <w:r>
        <w:rPr>
          <w:rFonts w:hint="eastAsia" w:ascii="Times New Roman" w:hAnsi="Times New Roman" w:eastAsia="宋体" w:cs="Times New Roman"/>
          <w:sz w:val="28"/>
          <w:szCs w:val="28"/>
        </w:rPr>
        <w:t>：完成低效针叶林固定样地设置与调查，开展低效针叶林改培技术研究，并开展技术示范</w:t>
      </w:r>
      <w:r>
        <w:rPr>
          <w:rFonts w:ascii="Times New Roman" w:hAnsi="Times New Roman" w:eastAsia="宋体" w:cs="Times New Roman"/>
          <w:sz w:val="28"/>
          <w:szCs w:val="28"/>
        </w:rPr>
        <w:t>。</w:t>
      </w:r>
    </w:p>
    <w:p w14:paraId="4914D310">
      <w:pPr>
        <w:spacing w:line="360" w:lineRule="auto"/>
        <w:rPr>
          <w:rFonts w:ascii="Times New Roman" w:hAnsi="Times New Roman" w:eastAsia="宋体" w:cs="Times New Roman"/>
          <w:sz w:val="24"/>
          <w:szCs w:val="24"/>
        </w:rPr>
      </w:pPr>
    </w:p>
    <w:p w14:paraId="3F2C85CD">
      <w:pPr>
        <w:spacing w:line="360" w:lineRule="auto"/>
        <w:rPr>
          <w:rFonts w:hint="eastAsia" w:ascii="仿宋_GB2312" w:hAnsi="Times New Roman" w:eastAsia="仿宋_GB2312" w:cs="Times New Roman"/>
          <w:b/>
          <w:bCs/>
          <w:sz w:val="28"/>
          <w:szCs w:val="28"/>
        </w:rPr>
      </w:pPr>
      <w:r>
        <w:rPr>
          <w:rFonts w:hint="eastAsia" w:ascii="仿宋_GB2312" w:hAnsi="Times New Roman" w:eastAsia="仿宋_GB2312" w:cs="Times New Roman"/>
          <w:b/>
          <w:bCs/>
          <w:sz w:val="28"/>
          <w:szCs w:val="28"/>
        </w:rPr>
        <w:t>主要完成单位情况：</w:t>
      </w:r>
    </w:p>
    <w:p w14:paraId="0B29DE24">
      <w:pPr>
        <w:pStyle w:val="14"/>
        <w:spacing w:line="360" w:lineRule="auto"/>
        <w:ind w:firstLine="0" w:firstLineChars="0"/>
        <w:rPr>
          <w:rFonts w:hint="eastAsia" w:ascii="仿宋_GB2312" w:hAnsi="Times New Roman" w:eastAsia="仿宋_GB2312"/>
          <w:sz w:val="28"/>
          <w:szCs w:val="28"/>
        </w:rPr>
      </w:pPr>
      <w:r>
        <w:rPr>
          <w:rFonts w:hint="eastAsia" w:ascii="仿宋_GB2312" w:hAnsi="Times New Roman" w:eastAsia="仿宋_GB2312"/>
          <w:sz w:val="28"/>
          <w:szCs w:val="28"/>
        </w:rPr>
        <w:t xml:space="preserve">1. </w:t>
      </w:r>
      <w:r>
        <w:rPr>
          <w:rFonts w:hint="eastAsia" w:ascii="仿宋_GB2312" w:hAnsi="宋体" w:eastAsia="仿宋_GB2312"/>
          <w:sz w:val="28"/>
          <w:szCs w:val="28"/>
        </w:rPr>
        <w:t>江西农业大学：第</w:t>
      </w:r>
      <w:r>
        <w:rPr>
          <w:rFonts w:hint="eastAsia" w:ascii="仿宋_GB2312" w:hAnsi="Times New Roman" w:eastAsia="仿宋_GB2312"/>
          <w:sz w:val="28"/>
          <w:szCs w:val="28"/>
        </w:rPr>
        <w:t>1</w:t>
      </w:r>
      <w:r>
        <w:rPr>
          <w:rFonts w:hint="eastAsia" w:ascii="仿宋_GB2312" w:hAnsi="宋体" w:eastAsia="仿宋_GB2312"/>
          <w:sz w:val="28"/>
          <w:szCs w:val="28"/>
        </w:rPr>
        <w:t>完成单位。对本项目的贡献：项目主持人陈伏生教授及其研发团队，以江西省经营面积最大的湿地松、马尾松、杉木人工林为对象，构建了集地力评判、结构评价、功能评估为一体的人工林</w:t>
      </w:r>
      <w:r>
        <w:rPr>
          <w:rFonts w:hint="eastAsia" w:ascii="仿宋_GB2312" w:hAnsi="Times New Roman" w:eastAsia="仿宋_GB2312"/>
          <w:sz w:val="28"/>
          <w:szCs w:val="28"/>
        </w:rPr>
        <w:t>“</w:t>
      </w:r>
      <w:r>
        <w:rPr>
          <w:rFonts w:hint="eastAsia" w:ascii="仿宋_GB2312" w:hAnsi="宋体" w:eastAsia="仿宋_GB2312"/>
          <w:sz w:val="28"/>
          <w:szCs w:val="28"/>
        </w:rPr>
        <w:t>三维</w:t>
      </w:r>
      <w:r>
        <w:rPr>
          <w:rFonts w:hint="eastAsia" w:ascii="仿宋_GB2312" w:hAnsi="Times New Roman" w:eastAsia="仿宋_GB2312"/>
          <w:sz w:val="28"/>
          <w:szCs w:val="28"/>
        </w:rPr>
        <w:t>”</w:t>
      </w:r>
      <w:r>
        <w:rPr>
          <w:rFonts w:hint="eastAsia" w:ascii="仿宋_GB2312" w:hAnsi="宋体" w:eastAsia="仿宋_GB2312"/>
          <w:sz w:val="28"/>
          <w:szCs w:val="28"/>
        </w:rPr>
        <w:t>协同评价方法体系；完善和更新了人工林培育理论，重塑了人工针叶林地力维持、结构优化和功能提升技术，构建了人工林地力</w:t>
      </w:r>
      <w:r>
        <w:rPr>
          <w:rFonts w:hint="eastAsia" w:ascii="仿宋_GB2312" w:hAnsi="Times New Roman" w:eastAsia="仿宋_GB2312"/>
          <w:sz w:val="28"/>
          <w:szCs w:val="28"/>
        </w:rPr>
        <w:t>-</w:t>
      </w:r>
      <w:r>
        <w:rPr>
          <w:rFonts w:hint="eastAsia" w:ascii="仿宋_GB2312" w:hAnsi="宋体" w:eastAsia="仿宋_GB2312"/>
          <w:sz w:val="28"/>
          <w:szCs w:val="28"/>
        </w:rPr>
        <w:t>结构</w:t>
      </w:r>
      <w:r>
        <w:rPr>
          <w:rFonts w:hint="eastAsia" w:ascii="仿宋_GB2312" w:hAnsi="Times New Roman" w:eastAsia="仿宋_GB2312"/>
          <w:sz w:val="28"/>
          <w:szCs w:val="28"/>
        </w:rPr>
        <w:t>-</w:t>
      </w:r>
      <w:r>
        <w:rPr>
          <w:rFonts w:hint="eastAsia" w:ascii="仿宋_GB2312" w:hAnsi="宋体" w:eastAsia="仿宋_GB2312"/>
          <w:sz w:val="28"/>
          <w:szCs w:val="28"/>
        </w:rPr>
        <w:t>功能协同的“三维”培育技术体系，打造了因地定林优能、因林提地增能、因能修地调林三种培育技术模式，并在相关单位的支持和配合下进行了示范推广，产生了显著的生态、经济和社会效益，对本项目的理论完善、技术创新和推广应用等做出了重大贡献。</w:t>
      </w:r>
    </w:p>
    <w:p w14:paraId="22B95106">
      <w:pPr>
        <w:pStyle w:val="14"/>
        <w:spacing w:line="360" w:lineRule="auto"/>
        <w:ind w:firstLine="0" w:firstLineChars="0"/>
        <w:rPr>
          <w:rFonts w:hint="eastAsia" w:ascii="仿宋_GB2312" w:hAnsi="Times New Roman" w:eastAsia="仿宋_GB2312"/>
          <w:sz w:val="28"/>
          <w:szCs w:val="28"/>
        </w:rPr>
      </w:pPr>
      <w:r>
        <w:rPr>
          <w:rFonts w:hint="eastAsia" w:ascii="仿宋_GB2312" w:hAnsi="Times New Roman" w:eastAsia="仿宋_GB2312"/>
          <w:sz w:val="28"/>
          <w:szCs w:val="28"/>
        </w:rPr>
        <w:t xml:space="preserve">2. </w:t>
      </w:r>
      <w:r>
        <w:rPr>
          <w:rFonts w:hint="eastAsia" w:ascii="仿宋_GB2312" w:hAnsi="宋体" w:eastAsia="仿宋_GB2312"/>
          <w:sz w:val="28"/>
          <w:szCs w:val="28"/>
        </w:rPr>
        <w:t>江西省林业科学院：第</w:t>
      </w:r>
      <w:r>
        <w:rPr>
          <w:rFonts w:hint="eastAsia" w:ascii="仿宋_GB2312" w:hAnsi="Times New Roman" w:eastAsia="仿宋_GB2312"/>
          <w:sz w:val="28"/>
          <w:szCs w:val="28"/>
        </w:rPr>
        <w:t>2</w:t>
      </w:r>
      <w:r>
        <w:rPr>
          <w:rFonts w:hint="eastAsia" w:ascii="仿宋_GB2312" w:hAnsi="宋体" w:eastAsia="仿宋_GB2312"/>
          <w:sz w:val="28"/>
          <w:szCs w:val="28"/>
        </w:rPr>
        <w:t>完成单位。对本项目的贡献：协助江西农业大学制定项目技术方案，并开展试验研究，撰写研究报告和研究论文等。协助构建了人工林地力</w:t>
      </w:r>
      <w:r>
        <w:rPr>
          <w:rFonts w:hint="eastAsia" w:ascii="仿宋_GB2312" w:hAnsi="Times New Roman" w:eastAsia="仿宋_GB2312"/>
          <w:sz w:val="28"/>
          <w:szCs w:val="28"/>
        </w:rPr>
        <w:t>-</w:t>
      </w:r>
      <w:r>
        <w:rPr>
          <w:rFonts w:hint="eastAsia" w:ascii="仿宋_GB2312" w:hAnsi="宋体" w:eastAsia="仿宋_GB2312"/>
          <w:sz w:val="28"/>
          <w:szCs w:val="28"/>
        </w:rPr>
        <w:t>结构</w:t>
      </w:r>
      <w:r>
        <w:rPr>
          <w:rFonts w:hint="eastAsia" w:ascii="仿宋_GB2312" w:hAnsi="Times New Roman" w:eastAsia="仿宋_GB2312"/>
          <w:sz w:val="28"/>
          <w:szCs w:val="28"/>
        </w:rPr>
        <w:t>-</w:t>
      </w:r>
      <w:r>
        <w:rPr>
          <w:rFonts w:hint="eastAsia" w:ascii="仿宋_GB2312" w:hAnsi="宋体" w:eastAsia="仿宋_GB2312"/>
          <w:sz w:val="28"/>
          <w:szCs w:val="28"/>
        </w:rPr>
        <w:t>功能协同的“三维”培育技术体系，打造了因地定林优能、因林提地增能、因能修地调林三种培育技术模式，并进行了示范推广。</w:t>
      </w:r>
    </w:p>
    <w:p w14:paraId="04ABD033">
      <w:pPr>
        <w:pStyle w:val="14"/>
        <w:spacing w:line="360" w:lineRule="auto"/>
        <w:ind w:firstLine="0" w:firstLineChars="0"/>
        <w:rPr>
          <w:rFonts w:hint="eastAsia" w:ascii="仿宋_GB2312" w:hAnsi="Times New Roman" w:eastAsia="仿宋_GB2312"/>
          <w:sz w:val="28"/>
          <w:szCs w:val="28"/>
        </w:rPr>
      </w:pPr>
      <w:r>
        <w:rPr>
          <w:rFonts w:hint="eastAsia" w:ascii="仿宋_GB2312" w:hAnsi="Times New Roman" w:eastAsia="仿宋_GB2312"/>
          <w:sz w:val="28"/>
          <w:szCs w:val="28"/>
        </w:rPr>
        <w:t xml:space="preserve">3. </w:t>
      </w:r>
      <w:r>
        <w:rPr>
          <w:rFonts w:hint="eastAsia" w:ascii="仿宋_GB2312" w:hAnsi="宋体" w:eastAsia="仿宋_GB2312"/>
          <w:sz w:val="28"/>
          <w:szCs w:val="28"/>
        </w:rPr>
        <w:t>南昌大学：第</w:t>
      </w:r>
      <w:r>
        <w:rPr>
          <w:rFonts w:hint="eastAsia" w:ascii="仿宋_GB2312" w:hAnsi="Times New Roman" w:eastAsia="仿宋_GB2312"/>
          <w:sz w:val="28"/>
          <w:szCs w:val="28"/>
        </w:rPr>
        <w:t>3</w:t>
      </w:r>
      <w:r>
        <w:rPr>
          <w:rFonts w:hint="eastAsia" w:ascii="仿宋_GB2312" w:hAnsi="宋体" w:eastAsia="仿宋_GB2312"/>
          <w:sz w:val="28"/>
          <w:szCs w:val="28"/>
        </w:rPr>
        <w:t>完成单位。对本项目的贡献：突破了以个别人工林经营措施作为单指标的局限，基于生态系统各因子的协同效应，将地力、结构和功能多指标纳入评价指标体系，提升了人工林经营判别的准确性，拓展了人工林功能提升的纬度，为森林培育技术研发提供新的理论基础。</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FZSongS--GB1-5">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trackRevisions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13C64"/>
    <w:rsid w:val="00046ED4"/>
    <w:rsid w:val="000A33E8"/>
    <w:rsid w:val="000F63AA"/>
    <w:rsid w:val="00147EEF"/>
    <w:rsid w:val="0023068F"/>
    <w:rsid w:val="00253115"/>
    <w:rsid w:val="002E4880"/>
    <w:rsid w:val="003C635F"/>
    <w:rsid w:val="0042171E"/>
    <w:rsid w:val="004752FB"/>
    <w:rsid w:val="004A4C89"/>
    <w:rsid w:val="005F5B35"/>
    <w:rsid w:val="00624AFD"/>
    <w:rsid w:val="006674AB"/>
    <w:rsid w:val="00673210"/>
    <w:rsid w:val="006958D5"/>
    <w:rsid w:val="00696264"/>
    <w:rsid w:val="00747ACC"/>
    <w:rsid w:val="007B5A04"/>
    <w:rsid w:val="007C3690"/>
    <w:rsid w:val="007F7841"/>
    <w:rsid w:val="00884077"/>
    <w:rsid w:val="00950530"/>
    <w:rsid w:val="009F163C"/>
    <w:rsid w:val="00A054E5"/>
    <w:rsid w:val="00A511C7"/>
    <w:rsid w:val="00D13C64"/>
    <w:rsid w:val="00D22136"/>
    <w:rsid w:val="00D629A7"/>
    <w:rsid w:val="00D82820"/>
    <w:rsid w:val="00D9697E"/>
    <w:rsid w:val="00EC5D65"/>
    <w:rsid w:val="020E74FE"/>
    <w:rsid w:val="02FB27CF"/>
    <w:rsid w:val="03B85686"/>
    <w:rsid w:val="04A86594"/>
    <w:rsid w:val="050008AE"/>
    <w:rsid w:val="05723EB5"/>
    <w:rsid w:val="087046CF"/>
    <w:rsid w:val="09FC495B"/>
    <w:rsid w:val="0CCD5E98"/>
    <w:rsid w:val="10F801B6"/>
    <w:rsid w:val="12DC5186"/>
    <w:rsid w:val="15E3020C"/>
    <w:rsid w:val="17DB6BDD"/>
    <w:rsid w:val="1879545D"/>
    <w:rsid w:val="19E5139F"/>
    <w:rsid w:val="1B6835FF"/>
    <w:rsid w:val="1BA600F6"/>
    <w:rsid w:val="1E71288F"/>
    <w:rsid w:val="1F1D1052"/>
    <w:rsid w:val="1F600346"/>
    <w:rsid w:val="20C62BA6"/>
    <w:rsid w:val="23AE4F7D"/>
    <w:rsid w:val="23C151CA"/>
    <w:rsid w:val="24D20252"/>
    <w:rsid w:val="294A2C8B"/>
    <w:rsid w:val="2B812EFE"/>
    <w:rsid w:val="2E084562"/>
    <w:rsid w:val="2EB47005"/>
    <w:rsid w:val="2ED11341"/>
    <w:rsid w:val="311755A1"/>
    <w:rsid w:val="31676E7C"/>
    <w:rsid w:val="31D10189"/>
    <w:rsid w:val="330B32C6"/>
    <w:rsid w:val="3392226F"/>
    <w:rsid w:val="343969D4"/>
    <w:rsid w:val="39081B40"/>
    <w:rsid w:val="3DDE377D"/>
    <w:rsid w:val="3F3C298D"/>
    <w:rsid w:val="3F6640C4"/>
    <w:rsid w:val="3FAB4037"/>
    <w:rsid w:val="409C7CA7"/>
    <w:rsid w:val="443219D1"/>
    <w:rsid w:val="4703510A"/>
    <w:rsid w:val="490E3ABB"/>
    <w:rsid w:val="4F767CD5"/>
    <w:rsid w:val="52600F3F"/>
    <w:rsid w:val="55A915A4"/>
    <w:rsid w:val="57A54433"/>
    <w:rsid w:val="5A38762C"/>
    <w:rsid w:val="5DED5DD4"/>
    <w:rsid w:val="5E9F323E"/>
    <w:rsid w:val="607E44F4"/>
    <w:rsid w:val="645A23F4"/>
    <w:rsid w:val="66047052"/>
    <w:rsid w:val="67500324"/>
    <w:rsid w:val="678E0566"/>
    <w:rsid w:val="693219E4"/>
    <w:rsid w:val="724B5F6C"/>
    <w:rsid w:val="733E41A2"/>
    <w:rsid w:val="7AD76739"/>
    <w:rsid w:val="7BFE7D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0">
    <w:name w:val="Default Paragraph Font"/>
    <w:semiHidden/>
    <w:unhideWhenUsed/>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0"/>
    <w:pPr>
      <w:spacing w:after="120"/>
    </w:pPr>
  </w:style>
  <w:style w:type="paragraph" w:styleId="3">
    <w:name w:val="annotation text"/>
    <w:basedOn w:val="1"/>
    <w:link w:val="15"/>
    <w:unhideWhenUsed/>
    <w:qFormat/>
    <w:uiPriority w:val="99"/>
    <w:pPr>
      <w:jc w:val="left"/>
    </w:pPr>
  </w:style>
  <w:style w:type="paragraph" w:styleId="4">
    <w:name w:val="Plain Text"/>
    <w:basedOn w:val="1"/>
    <w:qFormat/>
    <w:uiPriority w:val="99"/>
    <w:pPr>
      <w:spacing w:line="360" w:lineRule="auto"/>
      <w:ind w:firstLine="480" w:firstLineChars="200"/>
    </w:pPr>
    <w:rPr>
      <w:rFonts w:ascii="仿宋_GB2312"/>
      <w:sz w:val="24"/>
    </w:rPr>
  </w:style>
  <w:style w:type="paragraph" w:styleId="5">
    <w:name w:val="Balloon Text"/>
    <w:basedOn w:val="1"/>
    <w:link w:val="17"/>
    <w:unhideWhenUsed/>
    <w:qFormat/>
    <w:uiPriority w:val="99"/>
    <w:rPr>
      <w:sz w:val="18"/>
      <w:szCs w:val="18"/>
    </w:rPr>
  </w:style>
  <w:style w:type="paragraph" w:styleId="6">
    <w:name w:val="footer"/>
    <w:basedOn w:val="1"/>
    <w:link w:val="13"/>
    <w:unhideWhenUsed/>
    <w:qFormat/>
    <w:uiPriority w:val="99"/>
    <w:pPr>
      <w:tabs>
        <w:tab w:val="center" w:pos="4153"/>
        <w:tab w:val="right" w:pos="8306"/>
      </w:tabs>
      <w:snapToGrid w:val="0"/>
      <w:jc w:val="left"/>
    </w:pPr>
    <w:rPr>
      <w:sz w:val="18"/>
      <w:szCs w:val="18"/>
    </w:rPr>
  </w:style>
  <w:style w:type="paragraph" w:styleId="7">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annotation subject"/>
    <w:basedOn w:val="3"/>
    <w:next w:val="3"/>
    <w:link w:val="16"/>
    <w:unhideWhenUsed/>
    <w:qFormat/>
    <w:uiPriority w:val="99"/>
    <w:rPr>
      <w:b/>
      <w:bCs/>
    </w:rPr>
  </w:style>
  <w:style w:type="character" w:styleId="11">
    <w:name w:val="annotation reference"/>
    <w:basedOn w:val="10"/>
    <w:unhideWhenUsed/>
    <w:qFormat/>
    <w:uiPriority w:val="99"/>
    <w:rPr>
      <w:sz w:val="21"/>
      <w:szCs w:val="21"/>
    </w:rPr>
  </w:style>
  <w:style w:type="character" w:customStyle="1" w:styleId="12">
    <w:name w:val="页眉 字符"/>
    <w:basedOn w:val="10"/>
    <w:link w:val="7"/>
    <w:qFormat/>
    <w:uiPriority w:val="99"/>
    <w:rPr>
      <w:sz w:val="18"/>
      <w:szCs w:val="18"/>
    </w:rPr>
  </w:style>
  <w:style w:type="character" w:customStyle="1" w:styleId="13">
    <w:name w:val="页脚 字符"/>
    <w:basedOn w:val="10"/>
    <w:link w:val="6"/>
    <w:qFormat/>
    <w:uiPriority w:val="99"/>
    <w:rPr>
      <w:sz w:val="18"/>
      <w:szCs w:val="18"/>
    </w:rPr>
  </w:style>
  <w:style w:type="paragraph" w:customStyle="1" w:styleId="14">
    <w:name w:val="列表段落1"/>
    <w:basedOn w:val="1"/>
    <w:qFormat/>
    <w:uiPriority w:val="0"/>
    <w:pPr>
      <w:ind w:firstLine="420" w:firstLineChars="200"/>
    </w:pPr>
  </w:style>
  <w:style w:type="character" w:customStyle="1" w:styleId="15">
    <w:name w:val="批注文字 字符"/>
    <w:basedOn w:val="10"/>
    <w:link w:val="3"/>
    <w:semiHidden/>
    <w:qFormat/>
    <w:uiPriority w:val="99"/>
  </w:style>
  <w:style w:type="character" w:customStyle="1" w:styleId="16">
    <w:name w:val="批注主题 字符"/>
    <w:basedOn w:val="15"/>
    <w:link w:val="8"/>
    <w:semiHidden/>
    <w:qFormat/>
    <w:uiPriority w:val="99"/>
    <w:rPr>
      <w:b/>
      <w:bCs/>
    </w:rPr>
  </w:style>
  <w:style w:type="character" w:customStyle="1" w:styleId="17">
    <w:name w:val="批注框文本 字符"/>
    <w:basedOn w:val="10"/>
    <w:link w:val="5"/>
    <w:semiHidden/>
    <w:qFormat/>
    <w:uiPriority w:val="99"/>
    <w:rPr>
      <w:sz w:val="18"/>
      <w:szCs w:val="18"/>
    </w:rPr>
  </w:style>
  <w:style w:type="paragraph" w:customStyle="1" w:styleId="18">
    <w:name w:val="修订1"/>
    <w:hidden/>
    <w:semiHidden/>
    <w:qFormat/>
    <w:uiPriority w:val="99"/>
    <w:rPr>
      <w:rFonts w:asciiTheme="minorHAnsi" w:hAnsiTheme="minorHAnsi" w:eastAsiaTheme="minorEastAsia" w:cstheme="minorBidi"/>
      <w:kern w:val="2"/>
      <w:sz w:val="21"/>
      <w:szCs w:val="22"/>
      <w:lang w:val="en-US" w:eastAsia="zh-CN" w:bidi="ar-SA"/>
    </w:rPr>
  </w:style>
  <w:style w:type="paragraph" w:customStyle="1" w:styleId="19">
    <w:name w:val="修订2"/>
    <w:hidden/>
    <w:unhideWhenUsed/>
    <w:qFormat/>
    <w:uiPriority w:val="99"/>
    <w:rPr>
      <w:rFonts w:asciiTheme="minorHAnsi" w:hAnsiTheme="minorHAnsi" w:eastAsiaTheme="minorEastAsia" w:cstheme="minorBidi"/>
      <w:kern w:val="2"/>
      <w:sz w:val="21"/>
      <w:szCs w:val="22"/>
      <w:lang w:val="en-US" w:eastAsia="zh-CN" w:bidi="ar-SA"/>
    </w:rPr>
  </w:style>
  <w:style w:type="paragraph" w:customStyle="1" w:styleId="20">
    <w:name w:val="修订3"/>
    <w:hidden/>
    <w:semiHidden/>
    <w:qFormat/>
    <w:uiPriority w:val="99"/>
    <w:rPr>
      <w:rFonts w:asciiTheme="minorHAnsi" w:hAnsiTheme="minorHAnsi" w:eastAsiaTheme="minorEastAsia" w:cstheme="minorBidi"/>
      <w:kern w:val="2"/>
      <w:sz w:val="21"/>
      <w:szCs w:val="22"/>
      <w:lang w:val="en-US" w:eastAsia="zh-CN" w:bidi="ar-SA"/>
    </w:rPr>
  </w:style>
  <w:style w:type="paragraph" w:styleId="21">
    <w:name w:val="List Paragraph"/>
    <w:basedOn w:val="1"/>
    <w:link w:val="22"/>
    <w:qFormat/>
    <w:uiPriority w:val="34"/>
    <w:pPr>
      <w:ind w:firstLine="420" w:firstLineChars="200"/>
    </w:pPr>
    <w:rPr>
      <w:rFonts w:ascii="Times New Roman" w:hAnsi="Times New Roman" w:eastAsia="宋体" w:cs="Times New Roman"/>
      <w:szCs w:val="24"/>
    </w:rPr>
  </w:style>
  <w:style w:type="character" w:customStyle="1" w:styleId="22">
    <w:name w:val="列表段落 字符"/>
    <w:basedOn w:val="10"/>
    <w:link w:val="21"/>
    <w:qFormat/>
    <w:uiPriority w:val="34"/>
    <w:rPr>
      <w:kern w:val="2"/>
      <w:sz w:val="21"/>
      <w:szCs w:val="24"/>
    </w:rPr>
  </w:style>
  <w:style w:type="paragraph" w:customStyle="1" w:styleId="23">
    <w:name w:val="修订4"/>
    <w:hidden/>
    <w:unhideWhenUsed/>
    <w:qFormat/>
    <w:uiPriority w:val="99"/>
    <w:rPr>
      <w:rFonts w:asciiTheme="minorHAnsi" w:hAnsiTheme="minorHAnsi" w:eastAsiaTheme="minorEastAsia" w:cstheme="minorBidi"/>
      <w:kern w:val="2"/>
      <w:sz w:val="21"/>
      <w:szCs w:val="22"/>
      <w:lang w:val="en-US" w:eastAsia="zh-CN" w:bidi="ar-SA"/>
    </w:rPr>
  </w:style>
  <w:style w:type="character" w:customStyle="1" w:styleId="24">
    <w:name w:val="fontstyle01"/>
    <w:basedOn w:val="10"/>
    <w:qFormat/>
    <w:uiPriority w:val="0"/>
    <w:rPr>
      <w:rFonts w:ascii="FZSongS--GB1-5" w:hAnsi="FZSongS--GB1-5" w:eastAsia="FZSongS--GB1-5" w:cs="FZSongS--GB1-5"/>
      <w:color w:val="00000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8</Pages>
  <Words>4015</Words>
  <Characters>4903</Characters>
  <Lines>36</Lines>
  <Paragraphs>10</Paragraphs>
  <TotalTime>3</TotalTime>
  <ScaleCrop>false</ScaleCrop>
  <LinksUpToDate>false</LinksUpToDate>
  <CharactersWithSpaces>5071</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2022-09-15T03:55:00Z</dcterms:created>
  <dc:creator>ywy</dc:creator>
  <cp:lastModifiedBy>111</cp:lastModifiedBy>
  <dcterms:modified xsi:type="dcterms:W3CDTF">2024-12-13T08:28:45Z</dcterms:modified>
  <cp:revision>46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AC75244EB5C649C59E2D9A6307111C28</vt:lpwstr>
  </property>
</Properties>
</file>