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633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6"/>
        <w:gridCol w:w="436"/>
        <w:gridCol w:w="435"/>
        <w:gridCol w:w="708"/>
        <w:gridCol w:w="603"/>
        <w:gridCol w:w="766"/>
        <w:gridCol w:w="766"/>
        <w:gridCol w:w="766"/>
        <w:gridCol w:w="684"/>
        <w:gridCol w:w="766"/>
        <w:gridCol w:w="655"/>
        <w:gridCol w:w="827"/>
        <w:gridCol w:w="656"/>
        <w:gridCol w:w="766"/>
        <w:gridCol w:w="546"/>
        <w:gridCol w:w="686"/>
        <w:gridCol w:w="615"/>
        <w:gridCol w:w="655"/>
        <w:gridCol w:w="766"/>
        <w:gridCol w:w="656"/>
        <w:gridCol w:w="436"/>
        <w:gridCol w:w="988"/>
        <w:gridCol w:w="709"/>
        <w:gridCol w:w="567"/>
        <w:gridCol w:w="436"/>
      </w:tblGrid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16330"/>
            <w:gridSpan w:val="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方正小标宋简体" w:cs="方正小标宋简体" w:hAnsi="方正小标宋简体" w:eastAsia="方正小标宋简体"/>
                <w:b w:val="1"/>
                <w:bCs w:val="1"/>
                <w:kern w:val="0"/>
                <w:sz w:val="34"/>
                <w:szCs w:val="34"/>
                <w:rtl w:val="0"/>
                <w:lang w:val="zh-TW" w:eastAsia="zh-TW"/>
              </w:rPr>
              <w:t>新设本科、同层次更名、独立学院转设基本办学条件表</w:t>
            </w:r>
          </w:p>
        </w:tc>
      </w:tr>
      <w:tr>
        <w:tblPrEx>
          <w:shd w:val="clear" w:color="auto" w:fill="ced7e7"/>
        </w:tblPrEx>
        <w:trPr>
          <w:trHeight w:val="1290" w:hRule="atLeast"/>
        </w:trPr>
        <w:tc>
          <w:tcPr>
            <w:tcW w:type="dxa" w:w="43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序号</w:t>
            </w:r>
          </w:p>
        </w:tc>
        <w:tc>
          <w:tcPr>
            <w:tcW w:type="dxa" w:w="43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申请建校名称</w:t>
            </w:r>
          </w:p>
        </w:tc>
        <w:tc>
          <w:tcPr>
            <w:tcW w:type="dxa" w:w="43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建校基础</w:t>
            </w:r>
          </w:p>
        </w:tc>
        <w:tc>
          <w:tcPr>
            <w:tcW w:type="dxa" w:w="7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在校生规模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人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13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占地面积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亩、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vertAlign w:val="superscript"/>
                <w:rtl w:val="0"/>
                <w:lang w:val="en-US"/>
              </w:rPr>
              <w:t>2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29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校舍建筑面积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万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vertAlign w:val="superscript"/>
                <w:rtl w:val="0"/>
                <w:lang w:val="en-US"/>
              </w:rPr>
              <w:t>2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、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m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vertAlign w:val="superscript"/>
                <w:rtl w:val="0"/>
                <w:lang w:val="en-US"/>
              </w:rPr>
              <w:t>2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14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教学科研仪器设备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万元、元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14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图书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万册、册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32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专任教师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人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6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生师比</w:t>
            </w:r>
          </w:p>
        </w:tc>
        <w:tc>
          <w:tcPr>
            <w:tcW w:type="dxa" w:w="43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教学评估年份及结论</w:t>
            </w:r>
          </w:p>
        </w:tc>
        <w:tc>
          <w:tcPr>
            <w:tcW w:type="dxa" w:w="22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其他要件</w:t>
            </w:r>
          </w:p>
        </w:tc>
        <w:tc>
          <w:tcPr>
            <w:tcW w:type="dxa" w:w="43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备注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4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总面积</w: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生均</w: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总面积</w: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生均</w:t>
            </w:r>
          </w:p>
        </w:tc>
        <w:tc>
          <w:tcPr>
            <w:tcW w:type="dxa" w:w="14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其中</w:t>
            </w:r>
          </w:p>
        </w:tc>
        <w:tc>
          <w:tcPr>
            <w:tcW w:type="dxa" w:w="6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总值</w:t>
            </w:r>
          </w:p>
        </w:tc>
        <w:tc>
          <w:tcPr>
            <w:tcW w:type="dxa" w:w="8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生均</w:t>
            </w:r>
          </w:p>
        </w:tc>
        <w:tc>
          <w:tcPr>
            <w:tcW w:type="dxa" w:w="6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总量</w: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生均</w:t>
            </w:r>
          </w:p>
        </w:tc>
        <w:tc>
          <w:tcPr>
            <w:tcW w:type="dxa" w:w="5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总数</w:t>
            </w:r>
          </w:p>
        </w:tc>
        <w:tc>
          <w:tcPr>
            <w:tcW w:type="dxa" w:w="68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正高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职称</w:t>
            </w:r>
          </w:p>
        </w:tc>
        <w:tc>
          <w:tcPr>
            <w:tcW w:type="dxa" w:w="6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副高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职称</w:t>
            </w:r>
          </w:p>
        </w:tc>
        <w:tc>
          <w:tcPr>
            <w:tcW w:type="dxa" w:w="6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高级职称占比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(%)</w: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研究生学历占比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en-US"/>
              </w:rPr>
              <w:t>(%)</w:t>
            </w:r>
          </w:p>
        </w:tc>
        <w:tc>
          <w:tcPr>
            <w:tcW w:type="dxa" w:w="6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举办高校同意独立学院转设</w:t>
            </w:r>
          </w:p>
        </w:tc>
        <w:tc>
          <w:tcPr>
            <w:tcW w:type="dxa" w:w="7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签订过渡期终止协议</w:t>
            </w:r>
          </w:p>
        </w:tc>
        <w:tc>
          <w:tcPr>
            <w:tcW w:type="dxa" w:w="56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资产</w:t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lang w:val="zh-TW" w:eastAsia="zh-TW"/>
              </w:rPr>
              <w:br w:type="textWrapping"/>
            </w: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过户</w:t>
            </w:r>
          </w:p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70" w:hRule="atLeast"/>
        </w:trPr>
        <w:tc>
          <w:tcPr>
            <w:tcW w:type="dxa" w:w="4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教学科研行政用房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黑体" w:cs="黑体" w:hAnsi="黑体" w:eastAsia="黑体"/>
                <w:kern w:val="0"/>
                <w:sz w:val="22"/>
                <w:szCs w:val="22"/>
                <w:rtl w:val="0"/>
                <w:lang w:val="zh-TW" w:eastAsia="zh-TW"/>
              </w:rPr>
              <w:t>生均</w:t>
            </w:r>
          </w:p>
        </w:tc>
        <w:tc>
          <w:tcPr>
            <w:tcW w:type="dxa" w:w="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70" w:hRule="atLeast"/>
        </w:trPr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　</w:t>
            </w:r>
          </w:p>
        </w:tc>
        <w:tc>
          <w:tcPr>
            <w:tcW w:type="dxa" w:w="4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共青学院</w:t>
            </w:r>
          </w:p>
        </w:tc>
        <w:tc>
          <w:tcPr>
            <w:tcW w:type="dxa" w:w="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南昌大学共青学院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4719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636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89.85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20.25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42.92</w:t>
            </w:r>
          </w:p>
        </w:tc>
        <w:tc>
          <w:tcPr>
            <w:tcW w:type="dxa" w:w="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8.84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18.73</w:t>
            </w:r>
          </w:p>
        </w:tc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</w:rPr>
              <w:t>2591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 xml:space="preserve">5491 </w:t>
            </w:r>
          </w:p>
        </w:tc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 xml:space="preserve">34.3 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72.72</w:t>
            </w:r>
          </w:p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249</w:t>
            </w:r>
          </w:p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11</w:t>
            </w:r>
          </w:p>
        </w:tc>
        <w:tc>
          <w:tcPr>
            <w:tcW w:type="dxa" w:w="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39</w:t>
            </w:r>
          </w:p>
        </w:tc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20.1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>27.71</w:t>
            </w:r>
          </w:p>
        </w:tc>
        <w:tc>
          <w:tcPr>
            <w:tcW w:type="dxa" w:w="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righ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en-US"/>
              </w:rPr>
              <w:t xml:space="preserve">18.2 </w:t>
            </w:r>
          </w:p>
        </w:tc>
        <w:tc>
          <w:tcPr>
            <w:tcW w:type="dxa" w:w="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　</w:t>
            </w:r>
          </w:p>
        </w:tc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同意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有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资产已在学校名下</w:t>
            </w:r>
          </w:p>
        </w:tc>
        <w:tc>
          <w:tcPr>
            <w:tcW w:type="dxa" w:w="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2"/>
                <w:szCs w:val="22"/>
                <w:rtl w:val="0"/>
                <w:lang w:val="zh-TW" w:eastAsia="zh-TW"/>
              </w:rPr>
              <w:t>　</w:t>
            </w:r>
          </w:p>
        </w:tc>
      </w:tr>
    </w:tbl>
    <w:p>
      <w:pPr>
        <w:pStyle w:val="正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/>
    </w:p>
    <w:sectPr>
      <w:headerReference w:type="default" r:id="rId4"/>
      <w:footerReference w:type="default" r:id="rId5"/>
      <w:pgSz w:w="16840" w:h="11900" w:orient="landscape"/>
      <w:pgMar w:top="1797" w:right="1134" w:bottom="1797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方正小标宋简体">
    <w:charset w:val="00"/>
    <w:family w:val="roman"/>
    <w:pitch w:val="default"/>
  </w:font>
  <w:font w:name="Cambria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